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eastAsia="黑体"/>
          <w:b/>
          <w:sz w:val="32"/>
          <w:szCs w:val="32"/>
        </w:rPr>
      </w:pPr>
      <w:r>
        <w:rPr>
          <w:rFonts w:hint="eastAsia" w:eastAsia="黑体"/>
          <w:b/>
          <w:sz w:val="32"/>
          <w:szCs w:val="32"/>
        </w:rPr>
        <w:t>江苏海晨物流股份有限公司</w:t>
      </w:r>
    </w:p>
    <w:p>
      <w:pPr>
        <w:spacing w:line="276" w:lineRule="auto"/>
        <w:jc w:val="center"/>
      </w:pPr>
      <w:r>
        <w:rPr>
          <w:rFonts w:eastAsia="黑体"/>
          <w:b/>
          <w:sz w:val="32"/>
          <w:szCs w:val="32"/>
        </w:rPr>
        <w:t>202</w:t>
      </w:r>
      <w:r>
        <w:rPr>
          <w:rFonts w:hint="eastAsia" w:eastAsia="黑体"/>
          <w:b/>
          <w:sz w:val="32"/>
          <w:szCs w:val="32"/>
          <w:lang w:val="en-US" w:eastAsia="zh-CN"/>
        </w:rPr>
        <w:t>2</w:t>
      </w:r>
      <w:r>
        <w:rPr>
          <w:rFonts w:hint="eastAsia" w:eastAsia="黑体"/>
          <w:b/>
          <w:sz w:val="32"/>
          <w:szCs w:val="32"/>
        </w:rPr>
        <w:t>年度董事会工作报告</w:t>
      </w:r>
    </w:p>
    <w:p>
      <w:pPr>
        <w:adjustRightInd w:val="0"/>
        <w:snapToGrid w:val="0"/>
        <w:spacing w:line="520" w:lineRule="exact"/>
        <w:ind w:firstLine="482" w:firstLineChars="200"/>
        <w:rPr>
          <w:rFonts w:ascii="宋体" w:hAnsi="宋体"/>
          <w:b/>
          <w:sz w:val="24"/>
        </w:rPr>
      </w:pPr>
    </w:p>
    <w:p>
      <w:pPr>
        <w:adjustRightInd w:val="0"/>
        <w:snapToGrid w:val="0"/>
        <w:spacing w:line="520" w:lineRule="exact"/>
        <w:ind w:firstLine="480" w:firstLineChars="200"/>
        <w:rPr>
          <w:rFonts w:ascii="宋体" w:hAnsi="宋体"/>
          <w:sz w:val="24"/>
        </w:rPr>
      </w:pPr>
      <w:r>
        <w:rPr>
          <w:rFonts w:ascii="宋体" w:hAnsi="宋体"/>
          <w:sz w:val="24"/>
        </w:rPr>
        <w:t>202</w:t>
      </w:r>
      <w:r>
        <w:rPr>
          <w:rFonts w:hint="eastAsia" w:ascii="宋体" w:hAnsi="宋体"/>
          <w:sz w:val="24"/>
          <w:lang w:val="en-US" w:eastAsia="zh-CN"/>
        </w:rPr>
        <w:t>2</w:t>
      </w:r>
      <w:r>
        <w:rPr>
          <w:rFonts w:hint="eastAsia" w:ascii="宋体" w:hAnsi="宋体"/>
          <w:sz w:val="24"/>
        </w:rPr>
        <w:t>年公司董事会根据《公司法》、《证券法》、</w:t>
      </w:r>
      <w:r>
        <w:rPr>
          <w:rFonts w:ascii="宋体" w:hAnsi="宋体"/>
          <w:sz w:val="24"/>
        </w:rPr>
        <w:t>《深圳证券交易所</w:t>
      </w:r>
      <w:r>
        <w:rPr>
          <w:rFonts w:hint="eastAsia" w:ascii="宋体" w:hAnsi="宋体"/>
          <w:sz w:val="24"/>
        </w:rPr>
        <w:t>创业板</w:t>
      </w:r>
      <w:r>
        <w:rPr>
          <w:rFonts w:ascii="宋体" w:hAnsi="宋体"/>
          <w:sz w:val="24"/>
        </w:rPr>
        <w:t>股票上市规则》</w:t>
      </w:r>
      <w:r>
        <w:rPr>
          <w:rFonts w:hint="eastAsia" w:ascii="宋体" w:hAnsi="宋体"/>
          <w:sz w:val="24"/>
        </w:rPr>
        <w:t>、</w:t>
      </w:r>
      <w:r>
        <w:rPr>
          <w:rFonts w:ascii="宋体" w:hAnsi="宋体"/>
          <w:sz w:val="24"/>
        </w:rPr>
        <w:t>《</w:t>
      </w:r>
      <w:r>
        <w:rPr>
          <w:rFonts w:hint="eastAsia" w:ascii="宋体" w:hAnsi="宋体"/>
          <w:sz w:val="24"/>
        </w:rPr>
        <w:t>深圳证券交易所上市公司自律监管指引第2号——创业板上市公司规范运作</w:t>
      </w:r>
      <w:r>
        <w:rPr>
          <w:rFonts w:ascii="宋体" w:hAnsi="宋体"/>
          <w:sz w:val="24"/>
        </w:rPr>
        <w:t>》</w:t>
      </w:r>
      <w:r>
        <w:rPr>
          <w:rFonts w:hint="eastAsia" w:ascii="宋体" w:hAnsi="宋体"/>
          <w:sz w:val="24"/>
        </w:rPr>
        <w:t>等有关法律法规以及《公司章程》的规定，按照公司《董事会议事规则》的要求，</w:t>
      </w:r>
      <w:r>
        <w:rPr>
          <w:rFonts w:ascii="宋体" w:hAnsi="宋体"/>
          <w:sz w:val="24"/>
        </w:rPr>
        <w:t>切实履行公司及股东大会赋予董事会的各项职责，严格执行股东大会各 项决议，勤勉尽责地开展年度工作，积极推进董事会各项决议的实施，不断规范公司治理，确保董事会科学决策和规范运作。现将公司董事会202</w:t>
      </w:r>
      <w:r>
        <w:rPr>
          <w:rFonts w:hint="eastAsia" w:ascii="宋体" w:hAnsi="宋体"/>
          <w:sz w:val="24"/>
          <w:lang w:val="en-US" w:eastAsia="zh-CN"/>
        </w:rPr>
        <w:t>2</w:t>
      </w:r>
      <w:r>
        <w:rPr>
          <w:rFonts w:ascii="宋体" w:hAnsi="宋体"/>
          <w:sz w:val="24"/>
        </w:rPr>
        <w:t>年度主要工作情况汇报如下：</w:t>
      </w:r>
    </w:p>
    <w:p>
      <w:pPr>
        <w:pStyle w:val="15"/>
        <w:numPr>
          <w:ilvl w:val="0"/>
          <w:numId w:val="1"/>
        </w:numPr>
        <w:adjustRightInd w:val="0"/>
        <w:snapToGrid w:val="0"/>
        <w:spacing w:line="520" w:lineRule="exact"/>
        <w:ind w:firstLineChars="0"/>
        <w:rPr>
          <w:b/>
        </w:rPr>
      </w:pPr>
      <w:r>
        <w:rPr>
          <w:rFonts w:hint="eastAsia"/>
          <w:b/>
        </w:rPr>
        <w:t>公司年度经营情况</w:t>
      </w:r>
    </w:p>
    <w:p>
      <w:pPr>
        <w:adjustRightInd w:val="0"/>
        <w:snapToGrid w:val="0"/>
        <w:spacing w:line="520" w:lineRule="exact"/>
        <w:ind w:firstLine="480" w:firstLineChars="200"/>
        <w:rPr>
          <w:rFonts w:hint="eastAsia"/>
          <w:sz w:val="24"/>
        </w:rPr>
      </w:pPr>
      <w:r>
        <w:rPr>
          <w:rFonts w:hint="eastAsia"/>
          <w:sz w:val="24"/>
        </w:rPr>
        <w:t>报告期内，公司实现营业收入</w:t>
      </w:r>
      <w:r>
        <w:rPr>
          <w:rFonts w:hint="eastAsia"/>
          <w:sz w:val="24"/>
          <w:lang w:val="en-US" w:eastAsia="zh-CN"/>
        </w:rPr>
        <w:t>18.00</w:t>
      </w:r>
      <w:r>
        <w:rPr>
          <w:rFonts w:hint="eastAsia"/>
          <w:sz w:val="24"/>
        </w:rPr>
        <w:t>亿元，同比增长22.67%；实现归属于上市公司股东的净利润</w:t>
      </w:r>
      <w:r>
        <w:rPr>
          <w:rFonts w:hint="eastAsia"/>
          <w:sz w:val="24"/>
          <w:lang w:val="en-US" w:eastAsia="zh-CN"/>
        </w:rPr>
        <w:t>3.58</w:t>
      </w:r>
      <w:r>
        <w:rPr>
          <w:rFonts w:hint="eastAsia"/>
          <w:sz w:val="24"/>
        </w:rPr>
        <w:t>亿元，同比增长15.81%；实现归属于上市公司股东扣除非经常性损益后净利润为</w:t>
      </w:r>
      <w:r>
        <w:rPr>
          <w:rFonts w:hint="eastAsia"/>
          <w:sz w:val="24"/>
          <w:lang w:val="en-US" w:eastAsia="zh-CN"/>
        </w:rPr>
        <w:t>2.62</w:t>
      </w:r>
      <w:r>
        <w:rPr>
          <w:rFonts w:hint="eastAsia"/>
          <w:sz w:val="24"/>
        </w:rPr>
        <w:t>亿元，同比增长23.24%。</w:t>
      </w:r>
    </w:p>
    <w:p>
      <w:pPr>
        <w:pStyle w:val="15"/>
        <w:numPr>
          <w:ilvl w:val="0"/>
          <w:numId w:val="1"/>
        </w:numPr>
        <w:adjustRightInd w:val="0"/>
        <w:snapToGrid w:val="0"/>
        <w:spacing w:line="520" w:lineRule="exact"/>
        <w:ind w:firstLineChars="0"/>
        <w:rPr>
          <w:b/>
        </w:rPr>
      </w:pPr>
      <w:r>
        <w:rPr>
          <w:rFonts w:hint="eastAsia"/>
          <w:b/>
        </w:rPr>
        <w:t>董事会日常工作情况</w:t>
      </w:r>
    </w:p>
    <w:p>
      <w:pPr>
        <w:adjustRightInd w:val="0"/>
        <w:snapToGrid w:val="0"/>
        <w:spacing w:line="520" w:lineRule="exact"/>
        <w:ind w:firstLine="482" w:firstLineChars="200"/>
        <w:rPr>
          <w:rFonts w:ascii="宋体" w:hAnsi="宋体"/>
          <w:b/>
          <w:sz w:val="24"/>
        </w:rPr>
      </w:pPr>
      <w:r>
        <w:rPr>
          <w:rFonts w:hint="eastAsia" w:ascii="宋体" w:hAnsi="宋体"/>
          <w:b/>
          <w:sz w:val="24"/>
        </w:rPr>
        <w:t>（一）报告期内董事会会议召开情况</w:t>
      </w:r>
      <w:r>
        <w:rPr>
          <w:rFonts w:ascii="宋体" w:hAnsi="宋体"/>
          <w:b/>
          <w:sz w:val="24"/>
        </w:rPr>
        <w:t xml:space="preserve"> </w:t>
      </w:r>
    </w:p>
    <w:p>
      <w:pPr>
        <w:spacing w:line="520" w:lineRule="exact"/>
        <w:ind w:firstLine="460" w:firstLineChars="200"/>
        <w:jc w:val="left"/>
        <w:rPr>
          <w:sz w:val="23"/>
          <w:szCs w:val="23"/>
        </w:rPr>
      </w:pPr>
      <w:r>
        <w:rPr>
          <w:rFonts w:hint="eastAsia"/>
          <w:sz w:val="23"/>
          <w:szCs w:val="23"/>
        </w:rPr>
        <w:t>报告期内，共召开了</w:t>
      </w:r>
      <w:r>
        <w:rPr>
          <w:rFonts w:hint="eastAsia"/>
          <w:sz w:val="23"/>
          <w:szCs w:val="23"/>
          <w:lang w:val="en-US" w:eastAsia="zh-CN"/>
        </w:rPr>
        <w:t>九</w:t>
      </w:r>
      <w:r>
        <w:rPr>
          <w:rFonts w:hint="eastAsia"/>
          <w:sz w:val="23"/>
          <w:szCs w:val="23"/>
        </w:rPr>
        <w:t>次董事会会议，公司董事均亲自出席了会议，不存在委托出席和缺席情况，会议的通知、召集、召开和表决程序均符合有关法律法规和《公司章程》的规定，具体审议事项如下：</w:t>
      </w:r>
    </w:p>
    <w:tbl>
      <w:tblPr>
        <w:tblStyle w:val="8"/>
        <w:tblpPr w:leftFromText="180" w:rightFromText="180" w:vertAnchor="text" w:horzAnchor="page" w:tblpXSpec="center" w:tblpY="296"/>
        <w:tblW w:w="8217" w:type="dxa"/>
        <w:tblInd w:w="0" w:type="dxa"/>
        <w:tblLayout w:type="fixed"/>
        <w:tblCellMar>
          <w:top w:w="0" w:type="dxa"/>
          <w:left w:w="108" w:type="dxa"/>
          <w:bottom w:w="0" w:type="dxa"/>
          <w:right w:w="108" w:type="dxa"/>
        </w:tblCellMar>
      </w:tblPr>
      <w:tblGrid>
        <w:gridCol w:w="680"/>
        <w:gridCol w:w="1583"/>
        <w:gridCol w:w="1276"/>
        <w:gridCol w:w="4678"/>
      </w:tblGrid>
      <w:tr>
        <w:tblPrEx>
          <w:tblCellMar>
            <w:top w:w="0" w:type="dxa"/>
            <w:left w:w="108" w:type="dxa"/>
            <w:bottom w:w="0" w:type="dxa"/>
            <w:right w:w="108" w:type="dxa"/>
          </w:tblCellMar>
        </w:tblPrEx>
        <w:trPr>
          <w:trHeight w:val="530" w:hRule="atLeast"/>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ascii="宋体" w:hAnsi="宋体" w:cs="宋体"/>
                <w:b/>
                <w:color w:val="000000"/>
                <w:kern w:val="0"/>
                <w:szCs w:val="21"/>
              </w:rPr>
              <w:t>序号</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ascii="宋体" w:hAnsi="宋体" w:cs="宋体"/>
                <w:b/>
                <w:color w:val="000000"/>
                <w:kern w:val="0"/>
                <w:szCs w:val="21"/>
              </w:rPr>
              <w:t>届次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ascii="宋体" w:hAnsi="宋体" w:cs="宋体"/>
                <w:b/>
                <w:color w:val="000000"/>
                <w:kern w:val="0"/>
                <w:szCs w:val="21"/>
              </w:rPr>
              <w:t>会议日期</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
                <w:kern w:val="0"/>
                <w:szCs w:val="21"/>
              </w:rPr>
            </w:pPr>
            <w:r>
              <w:rPr>
                <w:b/>
                <w:kern w:val="0"/>
                <w:szCs w:val="21"/>
              </w:rPr>
              <w:t>议案</w:t>
            </w:r>
          </w:p>
        </w:tc>
      </w:tr>
      <w:tr>
        <w:tblPrEx>
          <w:tblCellMar>
            <w:top w:w="0" w:type="dxa"/>
            <w:left w:w="108" w:type="dxa"/>
            <w:bottom w:w="0" w:type="dxa"/>
            <w:right w:w="108" w:type="dxa"/>
          </w:tblCellMar>
        </w:tblPrEx>
        <w:trPr>
          <w:trHeight w:val="385" w:hRule="atLeast"/>
        </w:trPr>
        <w:tc>
          <w:tcPr>
            <w:tcW w:w="6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158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第二届董事会第</w:t>
            </w:r>
            <w:r>
              <w:rPr>
                <w:rFonts w:hint="eastAsia" w:ascii="宋体" w:hAnsi="宋体" w:cs="宋体"/>
                <w:color w:val="000000"/>
                <w:kern w:val="0"/>
                <w:szCs w:val="21"/>
                <w:lang w:val="en-US" w:eastAsia="zh-CN"/>
              </w:rPr>
              <w:t>十六</w:t>
            </w:r>
            <w:r>
              <w:rPr>
                <w:rFonts w:hint="eastAsia" w:ascii="宋体" w:hAnsi="宋体" w:cs="宋体"/>
                <w:color w:val="000000"/>
                <w:kern w:val="0"/>
                <w:szCs w:val="21"/>
              </w:rPr>
              <w:t>次会议</w:t>
            </w:r>
          </w:p>
        </w:tc>
        <w:tc>
          <w:tcPr>
            <w:tcW w:w="127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202</w:t>
            </w:r>
            <w:r>
              <w:rPr>
                <w:rFonts w:hint="eastAsia" w:ascii="宋体" w:hAnsi="宋体" w:cs="宋体"/>
                <w:color w:val="000000"/>
                <w:kern w:val="0"/>
                <w:szCs w:val="21"/>
                <w:lang w:val="en-US" w:eastAsia="zh-CN"/>
              </w:rPr>
              <w:t>2</w:t>
            </w: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color w:val="000000"/>
                <w:kern w:val="0"/>
                <w:szCs w:val="21"/>
                <w:lang w:val="en-US" w:eastAsia="zh-CN"/>
              </w:rPr>
              <w:t>2</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Cs w:val="21"/>
              </w:rPr>
            </w:pPr>
            <w:r>
              <w:rPr>
                <w:rFonts w:hint="eastAsia" w:ascii="宋体" w:hAnsi="宋体"/>
                <w:color w:val="000000"/>
                <w:kern w:val="0"/>
                <w:szCs w:val="21"/>
              </w:rPr>
              <w:t>1、《202</w:t>
            </w:r>
            <w:r>
              <w:rPr>
                <w:rFonts w:hint="eastAsia" w:ascii="宋体" w:hAnsi="宋体"/>
                <w:color w:val="000000"/>
                <w:kern w:val="0"/>
                <w:szCs w:val="21"/>
                <w:lang w:val="en-US" w:eastAsia="zh-CN"/>
              </w:rPr>
              <w:t>1</w:t>
            </w:r>
            <w:r>
              <w:rPr>
                <w:rFonts w:hint="eastAsia" w:ascii="宋体" w:hAnsi="宋体"/>
                <w:color w:val="000000"/>
                <w:kern w:val="0"/>
                <w:szCs w:val="21"/>
              </w:rPr>
              <w:t>年度总经理工作报告的议案》；</w:t>
            </w:r>
          </w:p>
        </w:tc>
      </w:tr>
      <w:tr>
        <w:tblPrEx>
          <w:tblCellMar>
            <w:top w:w="0" w:type="dxa"/>
            <w:left w:w="108" w:type="dxa"/>
            <w:bottom w:w="0" w:type="dxa"/>
            <w:right w:w="108" w:type="dxa"/>
          </w:tblCellMar>
        </w:tblPrEx>
        <w:trPr>
          <w:trHeight w:val="391" w:hRule="atLeast"/>
        </w:trPr>
        <w:tc>
          <w:tcPr>
            <w:tcW w:w="6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Cs w:val="21"/>
              </w:rPr>
            </w:pPr>
            <w:r>
              <w:rPr>
                <w:rFonts w:hint="eastAsia" w:ascii="宋体" w:hAnsi="宋体"/>
                <w:color w:val="000000"/>
                <w:kern w:val="0"/>
                <w:szCs w:val="21"/>
              </w:rPr>
              <w:t>2、《202</w:t>
            </w:r>
            <w:r>
              <w:rPr>
                <w:rFonts w:hint="eastAsia" w:ascii="宋体" w:hAnsi="宋体"/>
                <w:color w:val="000000"/>
                <w:kern w:val="0"/>
                <w:szCs w:val="21"/>
                <w:lang w:val="en-US" w:eastAsia="zh-CN"/>
              </w:rPr>
              <w:t>1</w:t>
            </w:r>
            <w:r>
              <w:rPr>
                <w:rFonts w:hint="eastAsia" w:ascii="宋体" w:hAnsi="宋体"/>
                <w:color w:val="000000"/>
                <w:kern w:val="0"/>
                <w:szCs w:val="21"/>
              </w:rPr>
              <w:t>年度董事会工作报告的议案》；</w:t>
            </w:r>
          </w:p>
        </w:tc>
      </w:tr>
      <w:tr>
        <w:tblPrEx>
          <w:tblCellMar>
            <w:top w:w="0" w:type="dxa"/>
            <w:left w:w="108" w:type="dxa"/>
            <w:bottom w:w="0" w:type="dxa"/>
            <w:right w:w="108" w:type="dxa"/>
          </w:tblCellMar>
        </w:tblPrEx>
        <w:trPr>
          <w:trHeight w:val="300" w:hRule="atLeast"/>
        </w:trPr>
        <w:tc>
          <w:tcPr>
            <w:tcW w:w="680"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3、《202</w:t>
            </w:r>
            <w:r>
              <w:rPr>
                <w:rFonts w:hint="eastAsia" w:ascii="宋体" w:hAnsi="宋体"/>
                <w:color w:val="000000"/>
                <w:kern w:val="0"/>
                <w:szCs w:val="21"/>
                <w:lang w:val="en-US" w:eastAsia="zh-CN"/>
              </w:rPr>
              <w:t>1</w:t>
            </w:r>
            <w:r>
              <w:rPr>
                <w:rFonts w:hint="eastAsia" w:ascii="宋体" w:hAnsi="宋体"/>
                <w:color w:val="000000"/>
                <w:kern w:val="0"/>
                <w:szCs w:val="21"/>
              </w:rPr>
              <w:t>年度财务决算报告的议案》；</w:t>
            </w:r>
          </w:p>
        </w:tc>
      </w:tr>
      <w:tr>
        <w:tblPrEx>
          <w:tblCellMar>
            <w:top w:w="0" w:type="dxa"/>
            <w:left w:w="108" w:type="dxa"/>
            <w:bottom w:w="0" w:type="dxa"/>
            <w:right w:w="108" w:type="dxa"/>
          </w:tblCellMar>
        </w:tblPrEx>
        <w:trPr>
          <w:trHeight w:val="300" w:hRule="atLeast"/>
        </w:trPr>
        <w:tc>
          <w:tcPr>
            <w:tcW w:w="680"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4、《202</w:t>
            </w:r>
            <w:r>
              <w:rPr>
                <w:rFonts w:hint="eastAsia" w:ascii="宋体" w:hAnsi="宋体"/>
                <w:color w:val="000000"/>
                <w:kern w:val="0"/>
                <w:szCs w:val="21"/>
                <w:lang w:val="en-US" w:eastAsia="zh-CN"/>
              </w:rPr>
              <w:t>1</w:t>
            </w:r>
            <w:r>
              <w:rPr>
                <w:rFonts w:hint="eastAsia" w:ascii="宋体" w:hAnsi="宋体"/>
                <w:color w:val="000000"/>
                <w:kern w:val="0"/>
                <w:szCs w:val="21"/>
              </w:rPr>
              <w:t>年度报告全文及摘要的议案》；</w:t>
            </w:r>
          </w:p>
        </w:tc>
      </w:tr>
      <w:tr>
        <w:tblPrEx>
          <w:tblCellMar>
            <w:top w:w="0" w:type="dxa"/>
            <w:left w:w="108" w:type="dxa"/>
            <w:bottom w:w="0" w:type="dxa"/>
            <w:right w:w="108" w:type="dxa"/>
          </w:tblCellMar>
        </w:tblPrEx>
        <w:trPr>
          <w:trHeight w:val="300" w:hRule="atLeast"/>
        </w:trPr>
        <w:tc>
          <w:tcPr>
            <w:tcW w:w="680"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5、《202</w:t>
            </w:r>
            <w:r>
              <w:rPr>
                <w:rFonts w:hint="eastAsia" w:ascii="宋体" w:hAnsi="宋体"/>
                <w:color w:val="000000"/>
                <w:kern w:val="0"/>
                <w:szCs w:val="21"/>
                <w:lang w:val="en-US" w:eastAsia="zh-CN"/>
              </w:rPr>
              <w:t>1</w:t>
            </w:r>
            <w:r>
              <w:rPr>
                <w:rFonts w:hint="eastAsia" w:ascii="宋体" w:hAnsi="宋体"/>
                <w:color w:val="000000"/>
                <w:kern w:val="0"/>
                <w:szCs w:val="21"/>
              </w:rPr>
              <w:t>年度利润分配及公积金转增股本预案》；</w:t>
            </w:r>
          </w:p>
        </w:tc>
      </w:tr>
      <w:tr>
        <w:tblPrEx>
          <w:tblCellMar>
            <w:top w:w="0" w:type="dxa"/>
            <w:left w:w="108" w:type="dxa"/>
            <w:bottom w:w="0" w:type="dxa"/>
            <w:right w:w="108" w:type="dxa"/>
          </w:tblCellMar>
        </w:tblPrEx>
        <w:trPr>
          <w:trHeight w:val="300" w:hRule="atLeast"/>
        </w:trPr>
        <w:tc>
          <w:tcPr>
            <w:tcW w:w="680"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6、《202</w:t>
            </w:r>
            <w:r>
              <w:rPr>
                <w:rFonts w:hint="eastAsia" w:ascii="宋体" w:hAnsi="宋体"/>
                <w:color w:val="000000"/>
                <w:kern w:val="0"/>
                <w:szCs w:val="21"/>
                <w:lang w:val="en-US" w:eastAsia="zh-CN"/>
              </w:rPr>
              <w:t>1</w:t>
            </w:r>
            <w:r>
              <w:rPr>
                <w:rFonts w:hint="eastAsia" w:ascii="宋体" w:hAnsi="宋体"/>
                <w:color w:val="000000"/>
                <w:kern w:val="0"/>
                <w:szCs w:val="21"/>
              </w:rPr>
              <w:t>年度内部控制自我评价报告的议案》；</w:t>
            </w:r>
          </w:p>
        </w:tc>
      </w:tr>
      <w:tr>
        <w:tblPrEx>
          <w:tblCellMar>
            <w:top w:w="0" w:type="dxa"/>
            <w:left w:w="108" w:type="dxa"/>
            <w:bottom w:w="0" w:type="dxa"/>
            <w:right w:w="108" w:type="dxa"/>
          </w:tblCellMar>
        </w:tblPrEx>
        <w:trPr>
          <w:trHeight w:val="300" w:hRule="atLeast"/>
        </w:trPr>
        <w:tc>
          <w:tcPr>
            <w:tcW w:w="680"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7、《202</w:t>
            </w:r>
            <w:r>
              <w:rPr>
                <w:rFonts w:hint="eastAsia" w:ascii="宋体" w:hAnsi="宋体"/>
                <w:color w:val="000000"/>
                <w:kern w:val="0"/>
                <w:szCs w:val="21"/>
                <w:lang w:val="en-US" w:eastAsia="zh-CN"/>
              </w:rPr>
              <w:t>1</w:t>
            </w:r>
            <w:r>
              <w:rPr>
                <w:rFonts w:hint="eastAsia" w:ascii="宋体" w:hAnsi="宋体"/>
                <w:color w:val="000000"/>
                <w:kern w:val="0"/>
                <w:szCs w:val="21"/>
              </w:rPr>
              <w:t>年度募集资金存放与使用情况专项报告的议案》；</w:t>
            </w:r>
          </w:p>
        </w:tc>
      </w:tr>
      <w:tr>
        <w:tblPrEx>
          <w:tblCellMar>
            <w:top w:w="0" w:type="dxa"/>
            <w:left w:w="108" w:type="dxa"/>
            <w:bottom w:w="0" w:type="dxa"/>
            <w:right w:w="108" w:type="dxa"/>
          </w:tblCellMar>
        </w:tblPrEx>
        <w:trPr>
          <w:trHeight w:val="90" w:hRule="atLeast"/>
        </w:trPr>
        <w:tc>
          <w:tcPr>
            <w:tcW w:w="680"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8、《关于续聘202</w:t>
            </w:r>
            <w:r>
              <w:rPr>
                <w:rFonts w:hint="eastAsia" w:ascii="宋体" w:hAnsi="宋体"/>
                <w:color w:val="000000"/>
                <w:kern w:val="0"/>
                <w:szCs w:val="21"/>
                <w:lang w:val="en-US" w:eastAsia="zh-CN"/>
              </w:rPr>
              <w:t>2</w:t>
            </w:r>
            <w:r>
              <w:rPr>
                <w:rFonts w:hint="eastAsia" w:ascii="宋体" w:hAnsi="宋体"/>
                <w:color w:val="000000"/>
                <w:kern w:val="0"/>
                <w:szCs w:val="21"/>
              </w:rPr>
              <w:t>年度审计机构的议案》；</w:t>
            </w:r>
          </w:p>
        </w:tc>
      </w:tr>
      <w:tr>
        <w:tblPrEx>
          <w:tblCellMar>
            <w:top w:w="0" w:type="dxa"/>
            <w:left w:w="108" w:type="dxa"/>
            <w:bottom w:w="0" w:type="dxa"/>
            <w:right w:w="108" w:type="dxa"/>
          </w:tblCellMar>
        </w:tblPrEx>
        <w:trPr>
          <w:trHeight w:val="300" w:hRule="atLeast"/>
        </w:trPr>
        <w:tc>
          <w:tcPr>
            <w:tcW w:w="680"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olor w:val="000000"/>
                <w:kern w:val="0"/>
                <w:szCs w:val="21"/>
                <w:lang w:eastAsia="zh-CN"/>
              </w:rPr>
            </w:pPr>
            <w:r>
              <w:rPr>
                <w:rFonts w:hint="eastAsia" w:ascii="宋体" w:hAnsi="宋体"/>
                <w:color w:val="000000"/>
                <w:kern w:val="0"/>
                <w:szCs w:val="21"/>
              </w:rPr>
              <w:t>9、《关于2022年度董事、监事、高级管理人员薪酬的议案》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300" w:hRule="atLeast"/>
        </w:trPr>
        <w:tc>
          <w:tcPr>
            <w:tcW w:w="680"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10、审议《关于修订&lt;公司章程&gt;的议案》；</w:t>
            </w:r>
          </w:p>
        </w:tc>
      </w:tr>
      <w:tr>
        <w:tblPrEx>
          <w:tblCellMar>
            <w:top w:w="0" w:type="dxa"/>
            <w:left w:w="108" w:type="dxa"/>
            <w:bottom w:w="0" w:type="dxa"/>
            <w:right w:w="108" w:type="dxa"/>
          </w:tblCellMar>
        </w:tblPrEx>
        <w:trPr>
          <w:trHeight w:val="300" w:hRule="atLeast"/>
        </w:trPr>
        <w:tc>
          <w:tcPr>
            <w:tcW w:w="680"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583"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11、《关于提请召开公司202</w:t>
            </w:r>
            <w:r>
              <w:rPr>
                <w:rFonts w:hint="eastAsia" w:ascii="宋体" w:hAnsi="宋体"/>
                <w:color w:val="000000"/>
                <w:kern w:val="0"/>
                <w:szCs w:val="21"/>
                <w:lang w:val="en-US" w:eastAsia="zh-CN"/>
              </w:rPr>
              <w:t>1</w:t>
            </w:r>
            <w:r>
              <w:rPr>
                <w:rFonts w:hint="eastAsia" w:ascii="宋体" w:hAnsi="宋体"/>
                <w:color w:val="000000"/>
                <w:kern w:val="0"/>
                <w:szCs w:val="21"/>
              </w:rPr>
              <w:t>年年度股东大会的议案》。</w:t>
            </w:r>
          </w:p>
        </w:tc>
      </w:tr>
      <w:tr>
        <w:tblPrEx>
          <w:tblCellMar>
            <w:top w:w="0" w:type="dxa"/>
            <w:left w:w="108" w:type="dxa"/>
            <w:bottom w:w="0" w:type="dxa"/>
            <w:right w:w="108" w:type="dxa"/>
          </w:tblCellMar>
        </w:tblPrEx>
        <w:trPr>
          <w:trHeight w:val="298" w:hRule="atLeast"/>
        </w:trPr>
        <w:tc>
          <w:tcPr>
            <w:tcW w:w="680" w:type="dxa"/>
            <w:vMerge w:val="restart"/>
            <w:tcBorders>
              <w:top w:val="nil"/>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2</w:t>
            </w:r>
          </w:p>
        </w:tc>
        <w:tc>
          <w:tcPr>
            <w:tcW w:w="1583" w:type="dxa"/>
            <w:vMerge w:val="restart"/>
            <w:tcBorders>
              <w:top w:val="nil"/>
              <w:left w:val="single" w:color="auto" w:sz="4" w:space="0"/>
              <w:right w:val="single" w:color="auto" w:sz="4" w:space="0"/>
            </w:tcBorders>
            <w:shd w:val="clear" w:color="auto" w:fill="auto"/>
            <w:vAlign w:val="center"/>
          </w:tcPr>
          <w:p>
            <w:pPr>
              <w:widowControl/>
              <w:jc w:val="left"/>
              <w:rPr>
                <w:rFonts w:hint="eastAsia" w:ascii="宋体" w:hAnsi="宋体"/>
                <w:color w:val="000000"/>
                <w:kern w:val="0"/>
                <w:szCs w:val="21"/>
              </w:rPr>
            </w:pPr>
            <w:r>
              <w:rPr>
                <w:rFonts w:hint="eastAsia" w:ascii="宋体" w:hAnsi="宋体"/>
                <w:color w:val="000000"/>
                <w:kern w:val="0"/>
                <w:szCs w:val="21"/>
              </w:rPr>
              <w:t>第二届董事会第</w:t>
            </w:r>
            <w:r>
              <w:rPr>
                <w:rFonts w:hint="eastAsia" w:ascii="宋体" w:hAnsi="宋体"/>
                <w:color w:val="000000"/>
                <w:kern w:val="0"/>
                <w:szCs w:val="21"/>
                <w:lang w:val="en-US" w:eastAsia="zh-CN"/>
              </w:rPr>
              <w:t>十七</w:t>
            </w:r>
            <w:r>
              <w:rPr>
                <w:rFonts w:hint="eastAsia" w:ascii="宋体" w:hAnsi="宋体"/>
                <w:color w:val="000000"/>
                <w:kern w:val="0"/>
                <w:szCs w:val="21"/>
              </w:rPr>
              <w:t>次会议</w:t>
            </w:r>
          </w:p>
        </w:tc>
        <w:tc>
          <w:tcPr>
            <w:tcW w:w="1276" w:type="dxa"/>
            <w:vMerge w:val="restart"/>
            <w:tcBorders>
              <w:top w:val="nil"/>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4</w:t>
            </w:r>
            <w:r>
              <w:rPr>
                <w:rFonts w:hint="eastAsia" w:ascii="宋体" w:hAnsi="宋体"/>
                <w:color w:val="000000"/>
                <w:kern w:val="0"/>
                <w:szCs w:val="21"/>
              </w:rPr>
              <w:t>/26</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1、审议《关于公司2022年第一季度报告的议案》；</w:t>
            </w:r>
          </w:p>
        </w:tc>
      </w:tr>
      <w:tr>
        <w:tblPrEx>
          <w:tblCellMar>
            <w:top w:w="0" w:type="dxa"/>
            <w:left w:w="108" w:type="dxa"/>
            <w:bottom w:w="0" w:type="dxa"/>
            <w:right w:w="108" w:type="dxa"/>
          </w:tblCellMar>
        </w:tblPrEx>
        <w:trPr>
          <w:trHeight w:val="300" w:hRule="atLeast"/>
        </w:trPr>
        <w:tc>
          <w:tcPr>
            <w:tcW w:w="680"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rPr>
              <w:t>2、审议《关于董事会换届选举暨提名第三届董事会非独立董事候选人的议案》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600"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shd w:val="clear" w:color="auto" w:fill="auto"/>
            <w:vAlign w:val="bottom"/>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Cs w:val="21"/>
                <w:lang w:val="en-US" w:eastAsia="zh-CN"/>
              </w:rPr>
            </w:pPr>
            <w:r>
              <w:rPr>
                <w:rFonts w:hint="eastAsia" w:ascii="宋体" w:hAnsi="宋体"/>
                <w:color w:val="000000"/>
                <w:kern w:val="0"/>
                <w:szCs w:val="21"/>
                <w:lang w:val="en-US" w:eastAsia="zh-CN"/>
              </w:rPr>
              <w:t>3、</w:t>
            </w:r>
            <w:r>
              <w:rPr>
                <w:rFonts w:hint="eastAsia" w:ascii="宋体" w:hAnsi="宋体"/>
                <w:color w:val="000000"/>
                <w:kern w:val="0"/>
                <w:szCs w:val="21"/>
              </w:rPr>
              <w:t>审议</w:t>
            </w:r>
            <w:bookmarkStart w:id="2" w:name="_GoBack"/>
            <w:bookmarkEnd w:id="2"/>
            <w:r>
              <w:rPr>
                <w:rFonts w:hint="eastAsia" w:ascii="宋体" w:hAnsi="宋体"/>
                <w:color w:val="000000"/>
                <w:kern w:val="0"/>
                <w:szCs w:val="21"/>
              </w:rPr>
              <w:t>《关于董事会换届选举暨提名第三届董事会独立董事候选人的议案》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429"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shd w:val="clear" w:color="auto" w:fill="auto"/>
            <w:vAlign w:val="bottom"/>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olor w:val="000000"/>
                <w:kern w:val="0"/>
                <w:szCs w:val="21"/>
                <w:lang w:val="en-US" w:eastAsia="zh-CN"/>
              </w:rPr>
            </w:pPr>
            <w:r>
              <w:rPr>
                <w:rFonts w:hint="eastAsia" w:ascii="宋体" w:hAnsi="宋体"/>
                <w:color w:val="000000"/>
                <w:kern w:val="0"/>
                <w:szCs w:val="21"/>
                <w:lang w:val="en-US" w:eastAsia="zh-CN"/>
              </w:rPr>
              <w:t>4、</w:t>
            </w:r>
            <w:r>
              <w:rPr>
                <w:rFonts w:hint="eastAsia" w:ascii="宋体" w:hAnsi="宋体"/>
                <w:color w:val="000000"/>
                <w:kern w:val="0"/>
                <w:szCs w:val="21"/>
              </w:rPr>
              <w:t>审议《关于回购公司股份方案的议案》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600" w:hRule="atLeast"/>
        </w:trPr>
        <w:tc>
          <w:tcPr>
            <w:tcW w:w="680"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bottom w:val="single" w:color="auto" w:sz="4" w:space="0"/>
              <w:right w:val="single" w:color="auto" w:sz="4" w:space="0"/>
            </w:tcBorders>
            <w:shd w:val="clear" w:color="auto" w:fill="auto"/>
            <w:vAlign w:val="bottom"/>
          </w:tcPr>
          <w:p>
            <w:pPr>
              <w:widowControl/>
              <w:jc w:val="left"/>
              <w:rPr>
                <w:rFonts w:hint="eastAsia" w:ascii="宋体" w:hAnsi="宋体"/>
                <w:color w:val="000000"/>
                <w:kern w:val="0"/>
                <w:szCs w:val="21"/>
              </w:rPr>
            </w:pPr>
          </w:p>
        </w:tc>
        <w:tc>
          <w:tcPr>
            <w:tcW w:w="1276"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5、</w:t>
            </w:r>
            <w:r>
              <w:rPr>
                <w:rFonts w:hint="eastAsia" w:ascii="宋体" w:hAnsi="宋体"/>
                <w:color w:val="000000"/>
                <w:kern w:val="0"/>
                <w:szCs w:val="21"/>
              </w:rPr>
              <w:t>审议《关于召开2022年第一次临时股东大会的议案》。</w:t>
            </w:r>
          </w:p>
        </w:tc>
      </w:tr>
      <w:tr>
        <w:tblPrEx>
          <w:tblCellMar>
            <w:top w:w="0" w:type="dxa"/>
            <w:left w:w="108" w:type="dxa"/>
            <w:bottom w:w="0" w:type="dxa"/>
            <w:right w:w="108" w:type="dxa"/>
          </w:tblCellMar>
        </w:tblPrEx>
        <w:trPr>
          <w:trHeight w:val="600" w:hRule="atLeast"/>
        </w:trPr>
        <w:tc>
          <w:tcPr>
            <w:tcW w:w="680" w:type="dxa"/>
            <w:vMerge w:val="restart"/>
            <w:tcBorders>
              <w:left w:val="single" w:color="auto" w:sz="4" w:space="0"/>
              <w:right w:val="single" w:color="auto" w:sz="4" w:space="0"/>
            </w:tcBorders>
            <w:shd w:val="clear" w:color="auto" w:fill="auto"/>
            <w:noWrap/>
            <w:vAlign w:val="center"/>
          </w:tcPr>
          <w:p>
            <w:pPr>
              <w:widowControl/>
              <w:jc w:val="left"/>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w:t>
            </w:r>
          </w:p>
        </w:tc>
        <w:tc>
          <w:tcPr>
            <w:tcW w:w="1583" w:type="dxa"/>
            <w:vMerge w:val="restart"/>
            <w:tcBorders>
              <w:left w:val="single" w:color="auto" w:sz="4" w:space="0"/>
              <w:right w:val="single" w:color="auto" w:sz="4" w:space="0"/>
            </w:tcBorders>
            <w:shd w:val="clear" w:color="auto" w:fill="auto"/>
            <w:vAlign w:val="center"/>
          </w:tcPr>
          <w:p>
            <w:pPr>
              <w:widowControl/>
              <w:jc w:val="left"/>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rPr>
              <w:t>第</w:t>
            </w:r>
            <w:r>
              <w:rPr>
                <w:rFonts w:hint="eastAsia" w:ascii="宋体" w:hAnsi="宋体"/>
                <w:color w:val="000000"/>
                <w:kern w:val="0"/>
                <w:szCs w:val="21"/>
                <w:lang w:val="en-US" w:eastAsia="zh-CN"/>
              </w:rPr>
              <w:t>三</w:t>
            </w:r>
            <w:r>
              <w:rPr>
                <w:rFonts w:hint="eastAsia" w:ascii="宋体" w:hAnsi="宋体"/>
                <w:color w:val="000000"/>
                <w:kern w:val="0"/>
                <w:szCs w:val="21"/>
              </w:rPr>
              <w:t>届董事会第</w:t>
            </w:r>
            <w:r>
              <w:rPr>
                <w:rFonts w:hint="eastAsia" w:ascii="宋体" w:hAnsi="宋体"/>
                <w:color w:val="000000"/>
                <w:kern w:val="0"/>
                <w:szCs w:val="21"/>
                <w:lang w:val="en-US" w:eastAsia="zh-CN"/>
              </w:rPr>
              <w:t>一</w:t>
            </w:r>
            <w:r>
              <w:rPr>
                <w:rFonts w:hint="eastAsia" w:ascii="宋体" w:hAnsi="宋体"/>
                <w:color w:val="000000"/>
                <w:kern w:val="0"/>
                <w:szCs w:val="21"/>
              </w:rPr>
              <w:t>次会议</w:t>
            </w:r>
          </w:p>
        </w:tc>
        <w:tc>
          <w:tcPr>
            <w:tcW w:w="1276" w:type="dxa"/>
            <w:vMerge w:val="restart"/>
            <w:tcBorders>
              <w:left w:val="single" w:color="auto" w:sz="4" w:space="0"/>
              <w:right w:val="single" w:color="auto" w:sz="4" w:space="0"/>
            </w:tcBorders>
            <w:shd w:val="clear" w:color="auto" w:fill="auto"/>
            <w:noWrap/>
            <w:vAlign w:val="center"/>
          </w:tcPr>
          <w:p>
            <w:pPr>
              <w:widowControl/>
              <w:jc w:val="left"/>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5</w:t>
            </w:r>
            <w:r>
              <w:rPr>
                <w:rFonts w:hint="eastAsia" w:ascii="宋体" w:hAnsi="宋体"/>
                <w:color w:val="000000"/>
                <w:kern w:val="0"/>
                <w:szCs w:val="21"/>
              </w:rPr>
              <w:t>/</w:t>
            </w:r>
            <w:r>
              <w:rPr>
                <w:rFonts w:hint="eastAsia" w:ascii="宋体" w:hAnsi="宋体"/>
                <w:color w:val="000000"/>
                <w:kern w:val="0"/>
                <w:szCs w:val="21"/>
                <w:lang w:val="en-US" w:eastAsia="zh-CN"/>
              </w:rPr>
              <w:t>12</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rPr>
              <w:t>1、审议《</w:t>
            </w:r>
            <w:bookmarkStart w:id="0" w:name="_Hlk102664748"/>
            <w:r>
              <w:rPr>
                <w:rFonts w:hint="eastAsia" w:ascii="宋体" w:hAnsi="宋体"/>
                <w:color w:val="000000"/>
                <w:kern w:val="0"/>
                <w:szCs w:val="21"/>
              </w:rPr>
              <w:t>关于选举公司第三届董事会董事长的议案</w:t>
            </w:r>
            <w:bookmarkEnd w:id="0"/>
            <w:r>
              <w:rPr>
                <w:rFonts w:hint="eastAsia" w:ascii="宋体" w:hAnsi="宋体"/>
                <w:color w:val="000000"/>
                <w:kern w:val="0"/>
                <w:szCs w:val="21"/>
              </w:rPr>
              <w:t>》；</w:t>
            </w:r>
          </w:p>
        </w:tc>
      </w:tr>
      <w:tr>
        <w:tblPrEx>
          <w:tblCellMar>
            <w:top w:w="0" w:type="dxa"/>
            <w:left w:w="108" w:type="dxa"/>
            <w:bottom w:w="0" w:type="dxa"/>
            <w:right w:w="108" w:type="dxa"/>
          </w:tblCellMar>
        </w:tblPrEx>
        <w:trPr>
          <w:trHeight w:val="600"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shd w:val="clear" w:color="auto" w:fill="auto"/>
            <w:vAlign w:val="bottom"/>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rPr>
              <w:t>2、审议《</w:t>
            </w:r>
            <w:bookmarkStart w:id="1" w:name="_Hlk102664838"/>
            <w:r>
              <w:rPr>
                <w:rFonts w:hint="eastAsia" w:ascii="宋体" w:hAnsi="宋体"/>
                <w:color w:val="000000"/>
                <w:kern w:val="0"/>
                <w:szCs w:val="21"/>
              </w:rPr>
              <w:t>关于选举第三届董事会专门委员会委员的议案</w:t>
            </w:r>
            <w:bookmarkEnd w:id="1"/>
            <w:r>
              <w:rPr>
                <w:rFonts w:hint="eastAsia" w:ascii="宋体" w:hAnsi="宋体"/>
                <w:color w:val="000000"/>
                <w:kern w:val="0"/>
                <w:szCs w:val="21"/>
              </w:rPr>
              <w:t>》</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415"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shd w:val="clear" w:color="auto" w:fill="auto"/>
            <w:vAlign w:val="bottom"/>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3、</w:t>
            </w:r>
            <w:r>
              <w:rPr>
                <w:rFonts w:hint="eastAsia" w:ascii="宋体" w:hAnsi="宋体"/>
                <w:color w:val="000000"/>
                <w:kern w:val="0"/>
                <w:szCs w:val="21"/>
              </w:rPr>
              <w:t>审议《关于聘任公司高级管理人员的议案》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513"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shd w:val="clear" w:color="auto" w:fill="auto"/>
            <w:vAlign w:val="bottom"/>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4、</w:t>
            </w:r>
            <w:r>
              <w:rPr>
                <w:rFonts w:hint="eastAsia" w:ascii="宋体" w:hAnsi="宋体"/>
                <w:color w:val="000000"/>
                <w:kern w:val="0"/>
                <w:szCs w:val="21"/>
              </w:rPr>
              <w:t>审议《关于聘任公司证券事务代表的议案》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395" w:hRule="atLeast"/>
        </w:trPr>
        <w:tc>
          <w:tcPr>
            <w:tcW w:w="680"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4</w:t>
            </w:r>
          </w:p>
        </w:tc>
        <w:tc>
          <w:tcPr>
            <w:tcW w:w="1583"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hint="eastAsia" w:ascii="宋体" w:hAnsi="宋体"/>
                <w:color w:val="000000"/>
                <w:kern w:val="0"/>
                <w:szCs w:val="21"/>
              </w:rPr>
            </w:pPr>
            <w:r>
              <w:rPr>
                <w:rFonts w:hint="eastAsia" w:ascii="宋体" w:hAnsi="宋体"/>
                <w:color w:val="000000"/>
                <w:kern w:val="0"/>
                <w:szCs w:val="21"/>
              </w:rPr>
              <w:t>第</w:t>
            </w:r>
            <w:r>
              <w:rPr>
                <w:rFonts w:hint="eastAsia" w:ascii="宋体" w:hAnsi="宋体"/>
                <w:color w:val="000000"/>
                <w:kern w:val="0"/>
                <w:szCs w:val="21"/>
                <w:lang w:val="en-US" w:eastAsia="zh-CN"/>
              </w:rPr>
              <w:t>三</w:t>
            </w:r>
            <w:r>
              <w:rPr>
                <w:rFonts w:hint="eastAsia" w:ascii="宋体" w:hAnsi="宋体"/>
                <w:color w:val="000000"/>
                <w:kern w:val="0"/>
                <w:szCs w:val="21"/>
              </w:rPr>
              <w:t>届董事会第</w:t>
            </w:r>
            <w:r>
              <w:rPr>
                <w:rFonts w:hint="eastAsia" w:ascii="宋体" w:hAnsi="宋体"/>
                <w:color w:val="000000"/>
                <w:kern w:val="0"/>
                <w:szCs w:val="21"/>
                <w:lang w:val="en-US" w:eastAsia="zh-CN"/>
              </w:rPr>
              <w:t>二</w:t>
            </w:r>
            <w:r>
              <w:rPr>
                <w:rFonts w:hint="eastAsia" w:ascii="宋体" w:hAnsi="宋体"/>
                <w:color w:val="000000"/>
                <w:kern w:val="0"/>
                <w:szCs w:val="21"/>
              </w:rPr>
              <w:t>次会议</w:t>
            </w:r>
          </w:p>
        </w:tc>
        <w:tc>
          <w:tcPr>
            <w:tcW w:w="1276"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5</w:t>
            </w:r>
            <w:r>
              <w:rPr>
                <w:rFonts w:hint="eastAsia" w:ascii="宋体" w:hAnsi="宋体"/>
                <w:color w:val="000000"/>
                <w:kern w:val="0"/>
                <w:szCs w:val="21"/>
              </w:rPr>
              <w:t>/2</w:t>
            </w:r>
            <w:r>
              <w:rPr>
                <w:rFonts w:hint="eastAsia" w:ascii="宋体" w:hAnsi="宋体"/>
                <w:color w:val="000000"/>
                <w:kern w:val="0"/>
                <w:szCs w:val="21"/>
                <w:lang w:val="en-US" w:eastAsia="zh-CN"/>
              </w:rPr>
              <w:t>3</w:t>
            </w:r>
            <w:r>
              <w:rPr>
                <w:rFonts w:hint="eastAsia" w:ascii="宋体" w:hAnsi="宋体"/>
                <w:color w:val="000000"/>
                <w:kern w:val="0"/>
                <w:szCs w:val="21"/>
              </w:rPr>
              <w:t>　</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1、审议《关于公司符合向特定对象发行股票条件的议案》；</w:t>
            </w:r>
          </w:p>
        </w:tc>
      </w:tr>
      <w:tr>
        <w:tblPrEx>
          <w:tblCellMar>
            <w:top w:w="0" w:type="dxa"/>
            <w:left w:w="108" w:type="dxa"/>
            <w:bottom w:w="0" w:type="dxa"/>
            <w:right w:w="108" w:type="dxa"/>
          </w:tblCellMar>
        </w:tblPrEx>
        <w:trPr>
          <w:trHeight w:val="320" w:hRule="atLeast"/>
        </w:trPr>
        <w:tc>
          <w:tcPr>
            <w:tcW w:w="680" w:type="dxa"/>
            <w:vMerge w:val="continue"/>
            <w:tcBorders>
              <w:left w:val="single" w:color="auto" w:sz="4" w:space="0"/>
              <w:right w:val="single" w:color="auto" w:sz="4" w:space="0"/>
            </w:tcBorders>
            <w:shd w:val="clear" w:color="auto" w:fill="auto"/>
            <w:noWrap/>
            <w:vAlign w:val="bottom"/>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rPr>
              <w:t>2、审议《关于公司向特定对象发行股票方案的议案》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320" w:hRule="atLeast"/>
        </w:trPr>
        <w:tc>
          <w:tcPr>
            <w:tcW w:w="680" w:type="dxa"/>
            <w:vMerge w:val="continue"/>
            <w:tcBorders>
              <w:left w:val="single" w:color="auto" w:sz="4" w:space="0"/>
              <w:right w:val="single" w:color="auto" w:sz="4" w:space="0"/>
            </w:tcBorders>
            <w:shd w:val="clear" w:color="auto" w:fill="auto"/>
            <w:noWrap/>
            <w:vAlign w:val="bottom"/>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3、</w:t>
            </w:r>
            <w:r>
              <w:rPr>
                <w:rFonts w:hint="eastAsia" w:ascii="宋体" w:hAnsi="宋体"/>
                <w:color w:val="000000"/>
                <w:kern w:val="0"/>
                <w:szCs w:val="21"/>
              </w:rPr>
              <w:t>审议《关于公司向特定对象发行股票预案的议案》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320" w:hRule="atLeast"/>
        </w:trPr>
        <w:tc>
          <w:tcPr>
            <w:tcW w:w="680" w:type="dxa"/>
            <w:vMerge w:val="continue"/>
            <w:tcBorders>
              <w:left w:val="single" w:color="auto" w:sz="4" w:space="0"/>
              <w:right w:val="single" w:color="auto" w:sz="4" w:space="0"/>
            </w:tcBorders>
            <w:shd w:val="clear" w:color="auto" w:fill="auto"/>
            <w:noWrap/>
            <w:vAlign w:val="bottom"/>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4、</w:t>
            </w:r>
            <w:r>
              <w:rPr>
                <w:rFonts w:hint="eastAsia" w:ascii="宋体" w:hAnsi="宋体"/>
                <w:color w:val="000000"/>
                <w:kern w:val="0"/>
                <w:szCs w:val="21"/>
              </w:rPr>
              <w:t>审议《关于公司向特定对象发行股票方案的论证分析报告的议案》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320" w:hRule="atLeast"/>
        </w:trPr>
        <w:tc>
          <w:tcPr>
            <w:tcW w:w="680" w:type="dxa"/>
            <w:vMerge w:val="continue"/>
            <w:tcBorders>
              <w:left w:val="single" w:color="auto" w:sz="4" w:space="0"/>
              <w:right w:val="single" w:color="auto" w:sz="4" w:space="0"/>
            </w:tcBorders>
            <w:shd w:val="clear" w:color="auto" w:fill="auto"/>
            <w:noWrap/>
            <w:vAlign w:val="bottom"/>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5、</w:t>
            </w:r>
            <w:r>
              <w:rPr>
                <w:rFonts w:hint="eastAsia" w:ascii="宋体" w:hAnsi="宋体"/>
                <w:color w:val="000000"/>
                <w:kern w:val="0"/>
                <w:szCs w:val="21"/>
              </w:rPr>
              <w:t>审议《关于公司向特定对象发行股票募集资金使用可行性分析报告的议案》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316" w:hRule="atLeast"/>
        </w:trPr>
        <w:tc>
          <w:tcPr>
            <w:tcW w:w="680" w:type="dxa"/>
            <w:vMerge w:val="continue"/>
            <w:tcBorders>
              <w:left w:val="single" w:color="auto" w:sz="4" w:space="0"/>
              <w:right w:val="single" w:color="auto" w:sz="4" w:space="0"/>
            </w:tcBorders>
            <w:shd w:val="clear" w:color="auto" w:fill="auto"/>
            <w:noWrap/>
            <w:vAlign w:val="bottom"/>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6、</w:t>
            </w:r>
            <w:r>
              <w:rPr>
                <w:rFonts w:hint="eastAsia" w:ascii="宋体" w:hAnsi="宋体"/>
                <w:color w:val="000000"/>
                <w:kern w:val="0"/>
                <w:szCs w:val="21"/>
              </w:rPr>
              <w:t>审议《关于公司&lt;前次募集资金使用情况报告&gt;的议案》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320" w:hRule="atLeast"/>
        </w:trPr>
        <w:tc>
          <w:tcPr>
            <w:tcW w:w="680" w:type="dxa"/>
            <w:vMerge w:val="continue"/>
            <w:tcBorders>
              <w:left w:val="single" w:color="auto" w:sz="4" w:space="0"/>
              <w:right w:val="single" w:color="auto" w:sz="4" w:space="0"/>
            </w:tcBorders>
            <w:shd w:val="clear" w:color="auto" w:fill="auto"/>
            <w:noWrap/>
            <w:vAlign w:val="bottom"/>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7、</w:t>
            </w:r>
            <w:r>
              <w:rPr>
                <w:rFonts w:hint="eastAsia" w:ascii="宋体" w:hAnsi="宋体"/>
                <w:color w:val="000000"/>
                <w:kern w:val="0"/>
                <w:szCs w:val="21"/>
              </w:rPr>
              <w:t>审议《关于公司向特定对象发行股票摊薄即期回报、填补即期回报措施及相关主体承诺的议案》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320" w:hRule="atLeast"/>
        </w:trPr>
        <w:tc>
          <w:tcPr>
            <w:tcW w:w="680" w:type="dxa"/>
            <w:vMerge w:val="continue"/>
            <w:tcBorders>
              <w:left w:val="single" w:color="auto" w:sz="4" w:space="0"/>
              <w:right w:val="single" w:color="auto" w:sz="4" w:space="0"/>
            </w:tcBorders>
            <w:shd w:val="clear" w:color="auto" w:fill="auto"/>
            <w:noWrap/>
            <w:vAlign w:val="bottom"/>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8、</w:t>
            </w:r>
            <w:r>
              <w:rPr>
                <w:rFonts w:hint="eastAsia" w:ascii="宋体" w:hAnsi="宋体"/>
                <w:color w:val="000000"/>
                <w:kern w:val="0"/>
                <w:szCs w:val="21"/>
              </w:rPr>
              <w:t>审议《关于公司向特定对象发行股票涉及关联交易的议案》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320" w:hRule="atLeast"/>
        </w:trPr>
        <w:tc>
          <w:tcPr>
            <w:tcW w:w="680" w:type="dxa"/>
            <w:vMerge w:val="continue"/>
            <w:tcBorders>
              <w:left w:val="single" w:color="auto" w:sz="4" w:space="0"/>
              <w:right w:val="single" w:color="auto" w:sz="4" w:space="0"/>
            </w:tcBorders>
            <w:shd w:val="clear" w:color="auto" w:fill="auto"/>
            <w:noWrap/>
            <w:vAlign w:val="bottom"/>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9、</w:t>
            </w:r>
            <w:r>
              <w:rPr>
                <w:rFonts w:hint="eastAsia" w:ascii="宋体" w:hAnsi="宋体"/>
                <w:color w:val="000000"/>
                <w:kern w:val="0"/>
                <w:szCs w:val="21"/>
              </w:rPr>
              <w:t>审议《关于公司未来三年（2022—2024年度）股东分红回报规划的议案》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320" w:hRule="atLeast"/>
        </w:trPr>
        <w:tc>
          <w:tcPr>
            <w:tcW w:w="680" w:type="dxa"/>
            <w:vMerge w:val="continue"/>
            <w:tcBorders>
              <w:left w:val="single" w:color="auto" w:sz="4" w:space="0"/>
              <w:right w:val="single" w:color="auto" w:sz="4" w:space="0"/>
            </w:tcBorders>
            <w:shd w:val="clear" w:color="auto" w:fill="auto"/>
            <w:noWrap/>
            <w:vAlign w:val="bottom"/>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10、</w:t>
            </w:r>
            <w:r>
              <w:rPr>
                <w:rFonts w:hint="eastAsia" w:ascii="宋体" w:hAnsi="宋体"/>
                <w:color w:val="000000"/>
                <w:kern w:val="0"/>
                <w:szCs w:val="21"/>
              </w:rPr>
              <w:t>审议《关于公司与本次发行认购对象签署附条件生效的股份认购合同的议案》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320" w:hRule="atLeast"/>
        </w:trPr>
        <w:tc>
          <w:tcPr>
            <w:tcW w:w="680" w:type="dxa"/>
            <w:vMerge w:val="continue"/>
            <w:tcBorders>
              <w:left w:val="single" w:color="auto" w:sz="4" w:space="0"/>
              <w:right w:val="single" w:color="auto" w:sz="4" w:space="0"/>
            </w:tcBorders>
            <w:shd w:val="clear" w:color="auto" w:fill="auto"/>
            <w:noWrap/>
            <w:vAlign w:val="bottom"/>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11、</w:t>
            </w:r>
            <w:r>
              <w:rPr>
                <w:rFonts w:hint="eastAsia" w:ascii="宋体" w:hAnsi="宋体"/>
                <w:color w:val="000000"/>
                <w:kern w:val="0"/>
                <w:szCs w:val="21"/>
              </w:rPr>
              <w:t>审议《关于设立本次向特定对象发行股票募集资金专项账户的议案》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320" w:hRule="atLeast"/>
        </w:trPr>
        <w:tc>
          <w:tcPr>
            <w:tcW w:w="680" w:type="dxa"/>
            <w:vMerge w:val="continue"/>
            <w:tcBorders>
              <w:left w:val="single" w:color="auto" w:sz="4" w:space="0"/>
              <w:right w:val="single" w:color="auto" w:sz="4" w:space="0"/>
            </w:tcBorders>
            <w:shd w:val="clear" w:color="auto" w:fill="auto"/>
            <w:noWrap/>
            <w:vAlign w:val="bottom"/>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12、</w:t>
            </w:r>
            <w:r>
              <w:rPr>
                <w:rFonts w:hint="eastAsia" w:ascii="宋体" w:hAnsi="宋体"/>
                <w:color w:val="000000"/>
                <w:kern w:val="0"/>
                <w:szCs w:val="21"/>
              </w:rPr>
              <w:t>审议《关于提请股东大会授权董事会全权办理本次向特定对象发行股票相关事宜的议案》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320" w:hRule="atLeast"/>
        </w:trPr>
        <w:tc>
          <w:tcPr>
            <w:tcW w:w="680" w:type="dxa"/>
            <w:vMerge w:val="continue"/>
            <w:tcBorders>
              <w:left w:val="single" w:color="auto" w:sz="4" w:space="0"/>
              <w:right w:val="single" w:color="auto" w:sz="4" w:space="0"/>
            </w:tcBorders>
            <w:shd w:val="clear" w:color="auto" w:fill="auto"/>
            <w:noWrap/>
            <w:vAlign w:val="bottom"/>
          </w:tcPr>
          <w:p>
            <w:pPr>
              <w:widowControl/>
              <w:jc w:val="left"/>
              <w:rPr>
                <w:rFonts w:hint="eastAsia" w:ascii="宋体" w:hAnsi="宋体"/>
                <w:color w:val="000000"/>
                <w:kern w:val="0"/>
                <w:szCs w:val="21"/>
              </w:rPr>
            </w:pPr>
          </w:p>
        </w:tc>
        <w:tc>
          <w:tcPr>
            <w:tcW w:w="1583"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13、</w:t>
            </w:r>
            <w:r>
              <w:rPr>
                <w:rFonts w:hint="eastAsia" w:ascii="宋体" w:hAnsi="宋体"/>
                <w:color w:val="000000"/>
                <w:kern w:val="0"/>
                <w:szCs w:val="21"/>
              </w:rPr>
              <w:t>审议《关于提请召开2022年第二次临时股东大会的议案》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588" w:hRule="atLeast"/>
        </w:trPr>
        <w:tc>
          <w:tcPr>
            <w:tcW w:w="680"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5</w:t>
            </w:r>
          </w:p>
        </w:tc>
        <w:tc>
          <w:tcPr>
            <w:tcW w:w="1583"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olor w:val="000000"/>
                <w:kern w:val="0"/>
                <w:szCs w:val="21"/>
              </w:rPr>
            </w:pPr>
            <w:r>
              <w:rPr>
                <w:rFonts w:hint="eastAsia" w:ascii="宋体" w:hAnsi="宋体"/>
                <w:color w:val="000000"/>
                <w:kern w:val="0"/>
                <w:szCs w:val="21"/>
              </w:rPr>
              <w:t>第</w:t>
            </w:r>
            <w:r>
              <w:rPr>
                <w:rFonts w:hint="eastAsia" w:ascii="宋体" w:hAnsi="宋体"/>
                <w:color w:val="000000"/>
                <w:kern w:val="0"/>
                <w:szCs w:val="21"/>
                <w:lang w:val="en-US" w:eastAsia="zh-CN"/>
              </w:rPr>
              <w:t>三</w:t>
            </w:r>
            <w:r>
              <w:rPr>
                <w:rFonts w:hint="eastAsia" w:ascii="宋体" w:hAnsi="宋体"/>
                <w:color w:val="000000"/>
                <w:kern w:val="0"/>
                <w:szCs w:val="21"/>
              </w:rPr>
              <w:t>届董事会第</w:t>
            </w:r>
            <w:r>
              <w:rPr>
                <w:rFonts w:hint="eastAsia" w:ascii="宋体" w:hAnsi="宋体"/>
                <w:color w:val="000000"/>
                <w:kern w:val="0"/>
                <w:szCs w:val="21"/>
                <w:lang w:val="en-US" w:eastAsia="zh-CN"/>
              </w:rPr>
              <w:t>三</w:t>
            </w:r>
            <w:r>
              <w:rPr>
                <w:rFonts w:hint="eastAsia" w:ascii="宋体" w:hAnsi="宋体"/>
                <w:color w:val="000000"/>
                <w:kern w:val="0"/>
                <w:szCs w:val="21"/>
              </w:rPr>
              <w:t>次会议</w:t>
            </w:r>
          </w:p>
        </w:tc>
        <w:tc>
          <w:tcPr>
            <w:tcW w:w="1276" w:type="dxa"/>
            <w:vMerge w:val="restart"/>
            <w:tcBorders>
              <w:top w:val="single" w:color="auto" w:sz="4" w:space="0"/>
              <w:left w:val="single" w:color="auto" w:sz="4" w:space="0"/>
              <w:right w:val="single" w:color="auto" w:sz="4" w:space="0"/>
            </w:tcBorders>
            <w:vAlign w:val="center"/>
          </w:tcPr>
          <w:p>
            <w:pPr>
              <w:widowControl/>
              <w:jc w:val="left"/>
              <w:rPr>
                <w:rFonts w:hint="default" w:ascii="宋体" w:hAnsi="宋体" w:eastAsia="宋体"/>
                <w:color w:val="000000"/>
                <w:kern w:val="0"/>
                <w:szCs w:val="21"/>
                <w:lang w:val="en-US" w:eastAsia="zh-CN"/>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7</w:t>
            </w:r>
            <w:r>
              <w:rPr>
                <w:rFonts w:hint="eastAsia" w:ascii="宋体" w:hAnsi="宋体"/>
                <w:color w:val="000000"/>
                <w:kern w:val="0"/>
                <w:szCs w:val="21"/>
              </w:rPr>
              <w:t>/</w:t>
            </w:r>
            <w:r>
              <w:rPr>
                <w:rFonts w:hint="eastAsia" w:ascii="宋体" w:hAnsi="宋体"/>
                <w:color w:val="000000"/>
                <w:kern w:val="0"/>
                <w:szCs w:val="21"/>
                <w:lang w:val="en-US" w:eastAsia="zh-CN"/>
              </w:rPr>
              <w:t>12</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1、审议《关于提请股东大会批准梁晨女士免于以要约方式增持公司股份的议案</w:t>
            </w:r>
            <w:r>
              <w:rPr>
                <w:rFonts w:hint="eastAsia" w:ascii="宋体" w:hAnsi="宋体"/>
                <w:color w:val="000000"/>
                <w:kern w:val="0"/>
                <w:szCs w:val="21"/>
                <w:lang w:eastAsia="zh-Hans"/>
              </w:rPr>
              <w:t>》</w:t>
            </w:r>
            <w:r>
              <w:rPr>
                <w:rFonts w:hint="eastAsia" w:ascii="宋体" w:hAnsi="宋体"/>
                <w:color w:val="000000"/>
                <w:kern w:val="0"/>
                <w:szCs w:val="21"/>
              </w:rPr>
              <w:t>；</w:t>
            </w:r>
          </w:p>
        </w:tc>
      </w:tr>
      <w:tr>
        <w:tblPrEx>
          <w:tblCellMar>
            <w:top w:w="0" w:type="dxa"/>
            <w:left w:w="108" w:type="dxa"/>
            <w:bottom w:w="0" w:type="dxa"/>
            <w:right w:w="108" w:type="dxa"/>
          </w:tblCellMar>
        </w:tblPrEx>
        <w:trPr>
          <w:trHeight w:val="486"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2、审议《关于调整公司向特定对象发行股票方案的议案》；</w:t>
            </w:r>
          </w:p>
        </w:tc>
      </w:tr>
      <w:tr>
        <w:tblPrEx>
          <w:tblCellMar>
            <w:top w:w="0" w:type="dxa"/>
            <w:left w:w="108" w:type="dxa"/>
            <w:bottom w:w="0" w:type="dxa"/>
            <w:right w:w="108" w:type="dxa"/>
          </w:tblCellMar>
        </w:tblPrEx>
        <w:trPr>
          <w:trHeight w:val="425"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rPr>
              <w:t>3、</w:t>
            </w:r>
            <w:r>
              <w:rPr>
                <w:rFonts w:hint="eastAsia" w:ascii="宋体" w:hAnsi="宋体"/>
                <w:color w:val="000000"/>
                <w:kern w:val="0"/>
                <w:szCs w:val="21"/>
                <w:lang w:eastAsia="zh-Hans"/>
              </w:rPr>
              <w:t>审议</w:t>
            </w:r>
            <w:r>
              <w:rPr>
                <w:rFonts w:hint="eastAsia" w:ascii="宋体" w:hAnsi="宋体"/>
                <w:color w:val="000000"/>
                <w:kern w:val="0"/>
                <w:szCs w:val="21"/>
              </w:rPr>
              <w:t>《关于公司向特定对象发行股票预案（修订稿）的议案》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425"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4、</w:t>
            </w:r>
            <w:r>
              <w:rPr>
                <w:rFonts w:hint="eastAsia" w:ascii="宋体" w:hAnsi="宋体"/>
                <w:color w:val="000000"/>
                <w:kern w:val="0"/>
                <w:szCs w:val="21"/>
              </w:rPr>
              <w:t>审议《关于公司向特定对象发行股票方案的论证分析报告（修订稿）的议案》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425"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5、</w:t>
            </w:r>
            <w:r>
              <w:rPr>
                <w:rFonts w:hint="eastAsia" w:ascii="宋体" w:hAnsi="宋体"/>
                <w:color w:val="000000"/>
                <w:kern w:val="0"/>
                <w:szCs w:val="21"/>
              </w:rPr>
              <w:t>审议《关于公司向特定对象发行股票募集资金使用可行性分析报告（修订稿）的议案》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425"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6、</w:t>
            </w:r>
            <w:r>
              <w:rPr>
                <w:rFonts w:hint="eastAsia" w:ascii="宋体" w:hAnsi="宋体"/>
                <w:color w:val="000000"/>
                <w:kern w:val="0"/>
                <w:szCs w:val="21"/>
              </w:rPr>
              <w:t>审议《关于公司向特定对象发行股票摊薄即期回报、填补即期回报措施及相关主体承诺（修订稿）的议案》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425"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7、</w:t>
            </w:r>
            <w:r>
              <w:rPr>
                <w:rFonts w:hint="eastAsia" w:ascii="宋体" w:hAnsi="宋体"/>
                <w:color w:val="000000"/>
                <w:kern w:val="0"/>
                <w:szCs w:val="21"/>
                <w:lang w:eastAsia="zh-Hans"/>
              </w:rPr>
              <w:t>审议《</w:t>
            </w:r>
            <w:r>
              <w:rPr>
                <w:rFonts w:hint="eastAsia" w:ascii="宋体" w:hAnsi="宋体"/>
                <w:color w:val="000000"/>
                <w:kern w:val="0"/>
                <w:szCs w:val="21"/>
              </w:rPr>
              <w:t>关于公司与本次发行对象签署附条件生效的股份认购合同之补充</w:t>
            </w:r>
            <w:r>
              <w:rPr>
                <w:rFonts w:hint="eastAsia" w:ascii="宋体" w:hAnsi="宋体"/>
                <w:color w:val="000000"/>
                <w:kern w:val="0"/>
                <w:szCs w:val="21"/>
                <w:lang w:eastAsia="zh-Hans"/>
              </w:rPr>
              <w:t>合同</w:t>
            </w:r>
            <w:r>
              <w:rPr>
                <w:rFonts w:hint="eastAsia" w:ascii="宋体" w:hAnsi="宋体"/>
                <w:color w:val="000000"/>
                <w:kern w:val="0"/>
                <w:szCs w:val="21"/>
              </w:rPr>
              <w:t>的议案</w:t>
            </w:r>
            <w:r>
              <w:rPr>
                <w:rFonts w:hint="eastAsia" w:ascii="宋体" w:hAnsi="宋体"/>
                <w:color w:val="000000"/>
                <w:kern w:val="0"/>
                <w:szCs w:val="21"/>
                <w:lang w:eastAsia="zh-Hans"/>
              </w:rPr>
              <w:t>》</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425"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8、</w:t>
            </w:r>
            <w:r>
              <w:rPr>
                <w:rFonts w:hint="eastAsia" w:ascii="宋体" w:hAnsi="宋体"/>
                <w:color w:val="000000"/>
                <w:kern w:val="0"/>
                <w:szCs w:val="21"/>
                <w:lang w:eastAsia="zh-Hans"/>
              </w:rPr>
              <w:t>审议《关于调整部分募投项目实施进度的议案》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425"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9、</w:t>
            </w:r>
            <w:r>
              <w:rPr>
                <w:rFonts w:hint="eastAsia" w:ascii="宋体" w:hAnsi="宋体"/>
                <w:color w:val="000000"/>
                <w:kern w:val="0"/>
                <w:szCs w:val="21"/>
                <w:lang w:eastAsia="zh-Hans"/>
              </w:rPr>
              <w:t>审议《关于回购股份期限提前届满暨回购方案实施完毕的议案</w:t>
            </w:r>
            <w:r>
              <w:rPr>
                <w:rFonts w:hint="eastAsia" w:ascii="宋体" w:hAnsi="宋体"/>
                <w:color w:val="000000"/>
                <w:kern w:val="0"/>
                <w:szCs w:val="21"/>
              </w:rPr>
              <w:t>》</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425"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10、</w:t>
            </w:r>
            <w:r>
              <w:rPr>
                <w:rFonts w:hint="eastAsia" w:ascii="宋体" w:hAnsi="宋体"/>
                <w:color w:val="000000"/>
                <w:kern w:val="0"/>
                <w:szCs w:val="21"/>
                <w:lang w:eastAsia="zh-Hans"/>
              </w:rPr>
              <w:t>审议《关于公司向特定对象发行股票涉及关联交易的议案》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425" w:hRule="atLeast"/>
        </w:trPr>
        <w:tc>
          <w:tcPr>
            <w:tcW w:w="680"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val="en-US" w:eastAsia="zh-CN"/>
              </w:rPr>
              <w:t>11、</w:t>
            </w:r>
            <w:r>
              <w:rPr>
                <w:rFonts w:hint="eastAsia" w:ascii="宋体" w:hAnsi="宋体"/>
                <w:color w:val="000000"/>
                <w:kern w:val="0"/>
                <w:szCs w:val="21"/>
              </w:rPr>
              <w:t>审议《关于提请召开公司2022年第三次临时股东大会的议案》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831" w:hRule="atLeast"/>
        </w:trPr>
        <w:tc>
          <w:tcPr>
            <w:tcW w:w="680"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6</w:t>
            </w:r>
          </w:p>
        </w:tc>
        <w:tc>
          <w:tcPr>
            <w:tcW w:w="1583"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olor w:val="000000"/>
                <w:kern w:val="0"/>
                <w:szCs w:val="21"/>
              </w:rPr>
            </w:pPr>
            <w:r>
              <w:rPr>
                <w:rFonts w:hint="eastAsia" w:ascii="宋体" w:hAnsi="宋体"/>
                <w:color w:val="000000"/>
                <w:kern w:val="0"/>
                <w:szCs w:val="21"/>
              </w:rPr>
              <w:t>第</w:t>
            </w:r>
            <w:r>
              <w:rPr>
                <w:rFonts w:hint="eastAsia" w:ascii="宋体" w:hAnsi="宋体"/>
                <w:color w:val="000000"/>
                <w:kern w:val="0"/>
                <w:szCs w:val="21"/>
                <w:lang w:val="en-US" w:eastAsia="zh-CN"/>
              </w:rPr>
              <w:t>三</w:t>
            </w:r>
            <w:r>
              <w:rPr>
                <w:rFonts w:hint="eastAsia" w:ascii="宋体" w:hAnsi="宋体"/>
                <w:color w:val="000000"/>
                <w:kern w:val="0"/>
                <w:szCs w:val="21"/>
              </w:rPr>
              <w:t>届董事会第</w:t>
            </w:r>
            <w:r>
              <w:rPr>
                <w:rFonts w:hint="eastAsia" w:ascii="宋体" w:hAnsi="宋体"/>
                <w:color w:val="000000"/>
                <w:kern w:val="0"/>
                <w:szCs w:val="21"/>
                <w:lang w:val="en-US" w:eastAsia="zh-CN"/>
              </w:rPr>
              <w:t>四</w:t>
            </w:r>
            <w:r>
              <w:rPr>
                <w:rFonts w:hint="eastAsia" w:ascii="宋体" w:hAnsi="宋体"/>
                <w:color w:val="000000"/>
                <w:kern w:val="0"/>
                <w:szCs w:val="21"/>
              </w:rPr>
              <w:t>次会议</w:t>
            </w:r>
          </w:p>
        </w:tc>
        <w:tc>
          <w:tcPr>
            <w:tcW w:w="1276" w:type="dxa"/>
            <w:vMerge w:val="restart"/>
            <w:tcBorders>
              <w:top w:val="single" w:color="auto" w:sz="4" w:space="0"/>
              <w:left w:val="single" w:color="auto" w:sz="4" w:space="0"/>
              <w:right w:val="single" w:color="auto" w:sz="4" w:space="0"/>
            </w:tcBorders>
            <w:vAlign w:val="center"/>
          </w:tcPr>
          <w:p>
            <w:pPr>
              <w:widowControl/>
              <w:jc w:val="left"/>
              <w:rPr>
                <w:rFonts w:hint="default" w:ascii="宋体" w:hAnsi="宋体" w:eastAsia="宋体"/>
                <w:color w:val="000000"/>
                <w:kern w:val="0"/>
                <w:szCs w:val="21"/>
                <w:lang w:val="en-US" w:eastAsia="zh-CN"/>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7</w:t>
            </w:r>
            <w:r>
              <w:rPr>
                <w:rFonts w:hint="eastAsia" w:ascii="宋体" w:hAnsi="宋体"/>
                <w:color w:val="000000"/>
                <w:kern w:val="0"/>
                <w:szCs w:val="21"/>
              </w:rPr>
              <w:t>/</w:t>
            </w:r>
            <w:r>
              <w:rPr>
                <w:rFonts w:hint="eastAsia" w:ascii="宋体" w:hAnsi="宋体"/>
                <w:color w:val="000000"/>
                <w:kern w:val="0"/>
                <w:szCs w:val="21"/>
                <w:lang w:val="en-US" w:eastAsia="zh-CN"/>
              </w:rPr>
              <w:t>27</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CN"/>
              </w:rPr>
            </w:pPr>
            <w:r>
              <w:rPr>
                <w:rFonts w:hint="eastAsia" w:ascii="宋体" w:hAnsi="宋体"/>
                <w:color w:val="000000"/>
                <w:kern w:val="0"/>
                <w:szCs w:val="21"/>
                <w:lang w:eastAsia="zh-Hans"/>
              </w:rPr>
              <w:t>1、审议《关于投资吴江电子元器件及3C产品数智仓储基地项目的议案》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831"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2、</w:t>
            </w:r>
            <w:r>
              <w:rPr>
                <w:rFonts w:hint="eastAsia" w:ascii="宋体" w:hAnsi="宋体"/>
                <w:color w:val="000000"/>
                <w:kern w:val="0"/>
                <w:szCs w:val="21"/>
                <w:lang w:eastAsia="zh-Hans"/>
              </w:rPr>
              <w:t>审议《关于子公司投资合肥新站显示玻璃物流分拨基地项目的议案》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831"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3、</w:t>
            </w:r>
            <w:r>
              <w:rPr>
                <w:rFonts w:hint="eastAsia" w:ascii="宋体" w:hAnsi="宋体"/>
                <w:color w:val="000000"/>
                <w:kern w:val="0"/>
                <w:szCs w:val="21"/>
                <w:lang w:eastAsia="zh-Hans"/>
              </w:rPr>
              <w:t>审议《关于与成都东部新区管理委员会签订项目投资合作协议的议案》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831" w:hRule="atLeast"/>
        </w:trPr>
        <w:tc>
          <w:tcPr>
            <w:tcW w:w="680"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4、</w:t>
            </w:r>
            <w:r>
              <w:rPr>
                <w:rFonts w:hint="eastAsia" w:ascii="宋体" w:hAnsi="宋体"/>
                <w:color w:val="000000"/>
                <w:kern w:val="0"/>
                <w:szCs w:val="21"/>
                <w:lang w:eastAsia="zh-Hans"/>
              </w:rPr>
              <w:t>审议《关于与武进国家高新技术产业开发区管理委员会签署投资框架协议的议案》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525" w:hRule="atLeast"/>
        </w:trPr>
        <w:tc>
          <w:tcPr>
            <w:tcW w:w="680"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7</w:t>
            </w:r>
          </w:p>
        </w:tc>
        <w:tc>
          <w:tcPr>
            <w:tcW w:w="1583"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olor w:val="000000"/>
                <w:kern w:val="0"/>
                <w:szCs w:val="21"/>
              </w:rPr>
            </w:pPr>
            <w:r>
              <w:rPr>
                <w:rFonts w:hint="eastAsia" w:ascii="宋体" w:hAnsi="宋体"/>
                <w:color w:val="000000"/>
                <w:kern w:val="0"/>
                <w:szCs w:val="21"/>
              </w:rPr>
              <w:t>第</w:t>
            </w:r>
            <w:r>
              <w:rPr>
                <w:rFonts w:hint="eastAsia" w:ascii="宋体" w:hAnsi="宋体"/>
                <w:color w:val="000000"/>
                <w:kern w:val="0"/>
                <w:szCs w:val="21"/>
                <w:lang w:val="en-US" w:eastAsia="zh-CN"/>
              </w:rPr>
              <w:t>三</w:t>
            </w:r>
            <w:r>
              <w:rPr>
                <w:rFonts w:hint="eastAsia" w:ascii="宋体" w:hAnsi="宋体"/>
                <w:color w:val="000000"/>
                <w:kern w:val="0"/>
                <w:szCs w:val="21"/>
              </w:rPr>
              <w:t>届董事会第</w:t>
            </w:r>
            <w:r>
              <w:rPr>
                <w:rFonts w:hint="eastAsia" w:ascii="宋体" w:hAnsi="宋体"/>
                <w:color w:val="000000"/>
                <w:kern w:val="0"/>
                <w:szCs w:val="21"/>
                <w:lang w:val="en-US" w:eastAsia="zh-CN"/>
              </w:rPr>
              <w:t>五</w:t>
            </w:r>
            <w:r>
              <w:rPr>
                <w:rFonts w:hint="eastAsia" w:ascii="宋体" w:hAnsi="宋体"/>
                <w:color w:val="000000"/>
                <w:kern w:val="0"/>
                <w:szCs w:val="21"/>
              </w:rPr>
              <w:t>次会议</w:t>
            </w:r>
          </w:p>
        </w:tc>
        <w:tc>
          <w:tcPr>
            <w:tcW w:w="1276" w:type="dxa"/>
            <w:vMerge w:val="restart"/>
            <w:tcBorders>
              <w:top w:val="single" w:color="auto" w:sz="4" w:space="0"/>
              <w:left w:val="single" w:color="auto" w:sz="4" w:space="0"/>
              <w:right w:val="single" w:color="auto" w:sz="4" w:space="0"/>
            </w:tcBorders>
            <w:vAlign w:val="center"/>
          </w:tcPr>
          <w:p>
            <w:pPr>
              <w:widowControl/>
              <w:jc w:val="left"/>
              <w:rPr>
                <w:rFonts w:hint="default" w:ascii="宋体" w:hAnsi="宋体" w:eastAsia="宋体"/>
                <w:color w:val="000000"/>
                <w:kern w:val="0"/>
                <w:szCs w:val="21"/>
                <w:lang w:val="en-US" w:eastAsia="zh-CN"/>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8</w:t>
            </w:r>
            <w:r>
              <w:rPr>
                <w:rFonts w:hint="eastAsia" w:ascii="宋体" w:hAnsi="宋体"/>
                <w:color w:val="000000"/>
                <w:kern w:val="0"/>
                <w:szCs w:val="21"/>
              </w:rPr>
              <w:t>/</w:t>
            </w:r>
            <w:r>
              <w:rPr>
                <w:rFonts w:hint="eastAsia" w:ascii="宋体" w:hAnsi="宋体"/>
                <w:color w:val="000000"/>
                <w:kern w:val="0"/>
                <w:szCs w:val="21"/>
                <w:lang w:val="en-US" w:eastAsia="zh-CN"/>
              </w:rPr>
              <w:t>25</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eastAsia="zh-Hans"/>
              </w:rPr>
            </w:pPr>
            <w:r>
              <w:rPr>
                <w:rFonts w:hint="eastAsia" w:ascii="宋体" w:hAnsi="宋体"/>
                <w:color w:val="000000"/>
                <w:kern w:val="0"/>
                <w:szCs w:val="21"/>
                <w:lang w:eastAsia="zh-Hans"/>
              </w:rPr>
              <w:t>1、审议《2022年半年度报告全文及摘要的议案》。</w:t>
            </w:r>
          </w:p>
        </w:tc>
      </w:tr>
      <w:tr>
        <w:tblPrEx>
          <w:tblCellMar>
            <w:top w:w="0" w:type="dxa"/>
            <w:left w:w="108" w:type="dxa"/>
            <w:bottom w:w="0" w:type="dxa"/>
            <w:right w:w="108" w:type="dxa"/>
          </w:tblCellMar>
        </w:tblPrEx>
        <w:trPr>
          <w:trHeight w:val="550"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2、</w:t>
            </w:r>
            <w:r>
              <w:rPr>
                <w:rFonts w:hint="eastAsia" w:ascii="宋体" w:hAnsi="宋体"/>
                <w:color w:val="000000"/>
                <w:kern w:val="0"/>
                <w:szCs w:val="21"/>
                <w:lang w:eastAsia="zh-Hans"/>
              </w:rPr>
              <w:t>审议《2022年半年度募集资金存放与使用情况的专项报告的议案》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605"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3、</w:t>
            </w:r>
            <w:r>
              <w:rPr>
                <w:rFonts w:hint="eastAsia" w:ascii="宋体" w:hAnsi="宋体"/>
                <w:color w:val="000000"/>
                <w:kern w:val="0"/>
                <w:szCs w:val="21"/>
                <w:lang w:eastAsia="zh-Hans"/>
              </w:rPr>
              <w:t>审议《关于部分募集资金投资项目结项并将结余募集资金永久补充流动资金的议案》</w:t>
            </w:r>
          </w:p>
        </w:tc>
      </w:tr>
      <w:tr>
        <w:tblPrEx>
          <w:tblCellMar>
            <w:top w:w="0" w:type="dxa"/>
            <w:left w:w="108" w:type="dxa"/>
            <w:bottom w:w="0" w:type="dxa"/>
            <w:right w:w="108" w:type="dxa"/>
          </w:tblCellMar>
        </w:tblPrEx>
        <w:trPr>
          <w:trHeight w:val="647"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4、</w:t>
            </w:r>
            <w:r>
              <w:rPr>
                <w:rFonts w:hint="eastAsia" w:ascii="宋体" w:hAnsi="宋体"/>
                <w:color w:val="000000"/>
                <w:kern w:val="0"/>
                <w:szCs w:val="21"/>
                <w:lang w:eastAsia="zh-Hans"/>
              </w:rPr>
              <w:t>审议《关于使用超募资金投资南方智能仓库技改项目的议案》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615"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5、</w:t>
            </w:r>
            <w:r>
              <w:rPr>
                <w:rFonts w:hint="eastAsia" w:ascii="宋体" w:hAnsi="宋体"/>
                <w:color w:val="000000"/>
                <w:kern w:val="0"/>
                <w:szCs w:val="21"/>
                <w:lang w:eastAsia="zh-Hans"/>
              </w:rPr>
              <w:t>审议《关于使用暂时闲置募集资金及自有资金进行现金管理的议案》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609" w:hRule="atLeast"/>
        </w:trPr>
        <w:tc>
          <w:tcPr>
            <w:tcW w:w="680"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6、</w:t>
            </w:r>
            <w:r>
              <w:rPr>
                <w:rFonts w:hint="eastAsia" w:ascii="宋体" w:hAnsi="宋体"/>
                <w:color w:val="000000"/>
                <w:kern w:val="0"/>
                <w:szCs w:val="21"/>
                <w:lang w:eastAsia="zh-Hans"/>
              </w:rPr>
              <w:t>审议《关于召开公司2022年度第四次临时股东大会的议案》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831"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rPr>
              <w:t>8</w:t>
            </w:r>
          </w:p>
        </w:tc>
        <w:tc>
          <w:tcPr>
            <w:tcW w:w="158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r>
              <w:rPr>
                <w:rFonts w:hint="eastAsia" w:ascii="宋体" w:hAnsi="宋体"/>
                <w:color w:val="000000"/>
                <w:kern w:val="0"/>
                <w:szCs w:val="21"/>
              </w:rPr>
              <w:t>第</w:t>
            </w:r>
            <w:r>
              <w:rPr>
                <w:rFonts w:hint="eastAsia" w:ascii="宋体" w:hAnsi="宋体"/>
                <w:color w:val="000000"/>
                <w:kern w:val="0"/>
                <w:szCs w:val="21"/>
                <w:lang w:val="en-US" w:eastAsia="zh-CN"/>
              </w:rPr>
              <w:t>三</w:t>
            </w:r>
            <w:r>
              <w:rPr>
                <w:rFonts w:hint="eastAsia" w:ascii="宋体" w:hAnsi="宋体"/>
                <w:color w:val="000000"/>
                <w:kern w:val="0"/>
                <w:szCs w:val="21"/>
              </w:rPr>
              <w:t>届董事会第</w:t>
            </w:r>
            <w:r>
              <w:rPr>
                <w:rFonts w:hint="eastAsia" w:ascii="宋体" w:hAnsi="宋体"/>
                <w:color w:val="000000"/>
                <w:kern w:val="0"/>
                <w:szCs w:val="21"/>
                <w:lang w:val="en-US" w:eastAsia="zh-CN"/>
              </w:rPr>
              <w:t>六</w:t>
            </w:r>
            <w:r>
              <w:rPr>
                <w:rFonts w:hint="eastAsia" w:ascii="宋体" w:hAnsi="宋体"/>
                <w:color w:val="000000"/>
                <w:kern w:val="0"/>
                <w:szCs w:val="21"/>
              </w:rPr>
              <w:t>次会议</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olor w:val="000000"/>
                <w:kern w:val="0"/>
                <w:szCs w:val="21"/>
                <w:lang w:val="en-US" w:eastAsia="zh-CN"/>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9</w:t>
            </w:r>
            <w:r>
              <w:rPr>
                <w:rFonts w:hint="eastAsia" w:ascii="宋体" w:hAnsi="宋体"/>
                <w:color w:val="000000"/>
                <w:kern w:val="0"/>
                <w:szCs w:val="21"/>
              </w:rPr>
              <w:t>/</w:t>
            </w:r>
            <w:r>
              <w:rPr>
                <w:rFonts w:hint="eastAsia" w:ascii="宋体" w:hAnsi="宋体"/>
                <w:color w:val="000000"/>
                <w:kern w:val="0"/>
                <w:szCs w:val="21"/>
                <w:lang w:val="en-US" w:eastAsia="zh-CN"/>
              </w:rPr>
              <w:t>14</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r>
              <w:rPr>
                <w:rFonts w:hint="eastAsia" w:ascii="宋体" w:hAnsi="宋体"/>
                <w:color w:val="000000"/>
                <w:kern w:val="0"/>
                <w:szCs w:val="21"/>
                <w:lang w:eastAsia="zh-Hans"/>
              </w:rPr>
              <w:t>审议《关于使用暂时闲置的募集资金暂时补充流动资金的议案》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456" w:hRule="atLeast"/>
        </w:trPr>
        <w:tc>
          <w:tcPr>
            <w:tcW w:w="680"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宋体" w:hAnsi="宋体" w:eastAsia="宋体"/>
                <w:color w:val="000000"/>
                <w:kern w:val="0"/>
                <w:szCs w:val="21"/>
                <w:lang w:val="en-US" w:eastAsia="zh-CN"/>
              </w:rPr>
            </w:pPr>
            <w:r>
              <w:rPr>
                <w:rFonts w:hint="eastAsia" w:ascii="宋体" w:hAnsi="宋体"/>
                <w:color w:val="000000"/>
                <w:kern w:val="0"/>
                <w:szCs w:val="21"/>
                <w:lang w:val="en-US" w:eastAsia="zh-CN"/>
              </w:rPr>
              <w:t>9</w:t>
            </w:r>
          </w:p>
        </w:tc>
        <w:tc>
          <w:tcPr>
            <w:tcW w:w="1583"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olor w:val="000000"/>
                <w:kern w:val="0"/>
                <w:szCs w:val="21"/>
              </w:rPr>
            </w:pPr>
            <w:r>
              <w:rPr>
                <w:rFonts w:hint="eastAsia" w:ascii="宋体" w:hAnsi="宋体"/>
                <w:color w:val="000000"/>
                <w:kern w:val="0"/>
                <w:szCs w:val="21"/>
              </w:rPr>
              <w:t>第</w:t>
            </w:r>
            <w:r>
              <w:rPr>
                <w:rFonts w:hint="eastAsia" w:ascii="宋体" w:hAnsi="宋体"/>
                <w:color w:val="000000"/>
                <w:kern w:val="0"/>
                <w:szCs w:val="21"/>
                <w:lang w:val="en-US" w:eastAsia="zh-CN"/>
              </w:rPr>
              <w:t>三</w:t>
            </w:r>
            <w:r>
              <w:rPr>
                <w:rFonts w:hint="eastAsia" w:ascii="宋体" w:hAnsi="宋体"/>
                <w:color w:val="000000"/>
                <w:kern w:val="0"/>
                <w:szCs w:val="21"/>
              </w:rPr>
              <w:t>届董事会第</w:t>
            </w:r>
            <w:r>
              <w:rPr>
                <w:rFonts w:hint="eastAsia" w:ascii="宋体" w:hAnsi="宋体"/>
                <w:color w:val="000000"/>
                <w:kern w:val="0"/>
                <w:szCs w:val="21"/>
                <w:lang w:val="en-US" w:eastAsia="zh-CN"/>
              </w:rPr>
              <w:t>七</w:t>
            </w:r>
            <w:r>
              <w:rPr>
                <w:rFonts w:hint="eastAsia" w:ascii="宋体" w:hAnsi="宋体"/>
                <w:color w:val="000000"/>
                <w:kern w:val="0"/>
                <w:szCs w:val="21"/>
              </w:rPr>
              <w:t>次会议</w:t>
            </w:r>
          </w:p>
        </w:tc>
        <w:tc>
          <w:tcPr>
            <w:tcW w:w="1276"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10</w:t>
            </w:r>
            <w:r>
              <w:rPr>
                <w:rFonts w:hint="eastAsia" w:ascii="宋体" w:hAnsi="宋体"/>
                <w:color w:val="000000"/>
                <w:kern w:val="0"/>
                <w:szCs w:val="21"/>
              </w:rPr>
              <w:t>/</w:t>
            </w:r>
            <w:r>
              <w:rPr>
                <w:rFonts w:hint="eastAsia" w:ascii="宋体" w:hAnsi="宋体"/>
                <w:color w:val="000000"/>
                <w:kern w:val="0"/>
                <w:szCs w:val="21"/>
                <w:lang w:val="en-US" w:eastAsia="zh-CN"/>
              </w:rPr>
              <w:t>14</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1、</w:t>
            </w:r>
            <w:r>
              <w:rPr>
                <w:rFonts w:hint="eastAsia" w:ascii="宋体" w:hAnsi="宋体"/>
                <w:color w:val="000000"/>
                <w:kern w:val="0"/>
                <w:szCs w:val="21"/>
                <w:lang w:eastAsia="zh-Hans"/>
              </w:rPr>
              <w:t>审议《2022年</w:t>
            </w:r>
            <w:r>
              <w:rPr>
                <w:rFonts w:hint="eastAsia" w:ascii="宋体" w:hAnsi="宋体"/>
                <w:color w:val="000000"/>
                <w:kern w:val="0"/>
                <w:szCs w:val="21"/>
                <w:lang w:val="en-US" w:eastAsia="zh-CN"/>
              </w:rPr>
              <w:t>第三季度报告</w:t>
            </w:r>
            <w:r>
              <w:rPr>
                <w:rFonts w:hint="eastAsia" w:ascii="宋体" w:hAnsi="宋体"/>
                <w:color w:val="000000"/>
                <w:kern w:val="0"/>
                <w:szCs w:val="21"/>
                <w:lang w:eastAsia="zh-Hans"/>
              </w:rPr>
              <w:t>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462" w:hRule="atLeast"/>
        </w:trPr>
        <w:tc>
          <w:tcPr>
            <w:tcW w:w="680"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2、</w:t>
            </w:r>
            <w:r>
              <w:rPr>
                <w:rFonts w:hint="eastAsia" w:ascii="宋体" w:hAnsi="宋体"/>
                <w:color w:val="000000"/>
                <w:kern w:val="0"/>
                <w:szCs w:val="21"/>
                <w:lang w:eastAsia="zh-Hans"/>
              </w:rPr>
              <w:t>审议《关于选举独立董事候选人的议案》</w:t>
            </w:r>
            <w:r>
              <w:rPr>
                <w:rFonts w:hint="eastAsia" w:ascii="宋体" w:hAnsi="宋体"/>
                <w:color w:val="000000"/>
                <w:kern w:val="0"/>
                <w:szCs w:val="21"/>
                <w:lang w:eastAsia="zh-CN"/>
              </w:rPr>
              <w:t>；</w:t>
            </w:r>
          </w:p>
        </w:tc>
      </w:tr>
      <w:tr>
        <w:tblPrEx>
          <w:tblCellMar>
            <w:top w:w="0" w:type="dxa"/>
            <w:left w:w="108" w:type="dxa"/>
            <w:bottom w:w="0" w:type="dxa"/>
            <w:right w:w="108" w:type="dxa"/>
          </w:tblCellMar>
        </w:tblPrEx>
        <w:trPr>
          <w:trHeight w:val="610" w:hRule="atLeast"/>
        </w:trPr>
        <w:tc>
          <w:tcPr>
            <w:tcW w:w="680"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rPr>
            </w:pPr>
          </w:p>
        </w:tc>
        <w:tc>
          <w:tcPr>
            <w:tcW w:w="1583"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p>
        </w:tc>
        <w:tc>
          <w:tcPr>
            <w:tcW w:w="1276"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Cs w:val="21"/>
              </w:rPr>
            </w:pP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color w:val="000000"/>
                <w:kern w:val="0"/>
                <w:szCs w:val="21"/>
                <w:lang w:val="en-US" w:eastAsia="zh-CN"/>
              </w:rPr>
            </w:pPr>
            <w:r>
              <w:rPr>
                <w:rFonts w:hint="eastAsia" w:ascii="宋体" w:hAnsi="宋体"/>
                <w:color w:val="000000"/>
                <w:kern w:val="0"/>
                <w:szCs w:val="21"/>
                <w:lang w:val="en-US" w:eastAsia="zh-CN"/>
              </w:rPr>
              <w:t>3、</w:t>
            </w:r>
            <w:r>
              <w:rPr>
                <w:rFonts w:hint="eastAsia" w:ascii="宋体" w:hAnsi="宋体"/>
                <w:color w:val="000000"/>
                <w:kern w:val="0"/>
                <w:szCs w:val="21"/>
                <w:lang w:eastAsia="zh-Hans"/>
              </w:rPr>
              <w:t>审议《关于召开公司2022年度第</w:t>
            </w:r>
            <w:r>
              <w:rPr>
                <w:rFonts w:hint="eastAsia" w:ascii="宋体" w:hAnsi="宋体"/>
                <w:color w:val="000000"/>
                <w:kern w:val="0"/>
                <w:szCs w:val="21"/>
                <w:lang w:val="en-US" w:eastAsia="zh-CN"/>
              </w:rPr>
              <w:t>五</w:t>
            </w:r>
            <w:r>
              <w:rPr>
                <w:rFonts w:hint="eastAsia" w:ascii="宋体" w:hAnsi="宋体"/>
                <w:color w:val="000000"/>
                <w:kern w:val="0"/>
                <w:szCs w:val="21"/>
                <w:lang w:eastAsia="zh-Hans"/>
              </w:rPr>
              <w:t>次临时股东大会的议案》</w:t>
            </w:r>
            <w:r>
              <w:rPr>
                <w:rFonts w:hint="eastAsia" w:ascii="宋体" w:hAnsi="宋体"/>
                <w:color w:val="000000"/>
                <w:kern w:val="0"/>
                <w:szCs w:val="21"/>
                <w:lang w:eastAsia="zh-CN"/>
              </w:rPr>
              <w:t>。</w:t>
            </w:r>
          </w:p>
        </w:tc>
      </w:tr>
    </w:tbl>
    <w:p>
      <w:pPr>
        <w:adjustRightInd w:val="0"/>
        <w:snapToGrid w:val="0"/>
        <w:spacing w:line="520" w:lineRule="exact"/>
        <w:ind w:firstLine="482" w:firstLineChars="200"/>
        <w:rPr>
          <w:rFonts w:hint="eastAsia" w:ascii="宋体" w:hAnsi="宋体"/>
          <w:color w:val="000000"/>
          <w:kern w:val="0"/>
          <w:szCs w:val="21"/>
        </w:rPr>
      </w:pPr>
      <w:r>
        <w:rPr>
          <w:rFonts w:hint="eastAsia" w:ascii="宋体" w:hAnsi="宋体"/>
          <w:b/>
          <w:sz w:val="24"/>
        </w:rPr>
        <w:t>（二）股东大会召开及决议执行情况</w:t>
      </w:r>
    </w:p>
    <w:p>
      <w:pPr>
        <w:spacing w:line="520" w:lineRule="exact"/>
        <w:ind w:firstLine="480" w:firstLineChars="200"/>
        <w:rPr>
          <w:rFonts w:ascii="宋体" w:hAnsi="宋体"/>
          <w:sz w:val="24"/>
        </w:rPr>
      </w:pPr>
      <w:r>
        <w:rPr>
          <w:rFonts w:hint="eastAsia" w:ascii="宋体" w:hAnsi="宋体"/>
          <w:sz w:val="24"/>
        </w:rPr>
        <w:t>报告期内，公司召开了</w:t>
      </w:r>
      <w:r>
        <w:rPr>
          <w:rFonts w:ascii="宋体" w:hAnsi="宋体"/>
          <w:sz w:val="24"/>
        </w:rPr>
        <w:t>20</w:t>
      </w:r>
      <w:r>
        <w:rPr>
          <w:rFonts w:hint="eastAsia" w:ascii="宋体" w:hAnsi="宋体"/>
          <w:sz w:val="24"/>
        </w:rPr>
        <w:t>2</w:t>
      </w:r>
      <w:r>
        <w:rPr>
          <w:rFonts w:hint="eastAsia" w:ascii="宋体" w:hAnsi="宋体"/>
          <w:sz w:val="24"/>
          <w:lang w:val="en-US" w:eastAsia="zh-CN"/>
        </w:rPr>
        <w:t>1</w:t>
      </w:r>
      <w:r>
        <w:rPr>
          <w:rFonts w:hint="eastAsia" w:ascii="宋体" w:hAnsi="宋体"/>
          <w:sz w:val="24"/>
        </w:rPr>
        <w:t>年年度股东大会、202</w:t>
      </w:r>
      <w:r>
        <w:rPr>
          <w:rFonts w:hint="eastAsia" w:ascii="宋体" w:hAnsi="宋体"/>
          <w:sz w:val="24"/>
          <w:lang w:val="en-US" w:eastAsia="zh-CN"/>
        </w:rPr>
        <w:t>2</w:t>
      </w:r>
      <w:r>
        <w:rPr>
          <w:rFonts w:ascii="宋体" w:hAnsi="宋体"/>
          <w:sz w:val="24"/>
        </w:rPr>
        <w:t>年第</w:t>
      </w:r>
      <w:r>
        <w:rPr>
          <w:rFonts w:hint="eastAsia" w:ascii="宋体" w:hAnsi="宋体"/>
          <w:sz w:val="24"/>
        </w:rPr>
        <w:t>一</w:t>
      </w:r>
      <w:r>
        <w:rPr>
          <w:rFonts w:ascii="宋体" w:hAnsi="宋体"/>
          <w:sz w:val="24"/>
        </w:rPr>
        <w:t>次临时股东大会</w:t>
      </w:r>
      <w:r>
        <w:rPr>
          <w:rFonts w:hint="eastAsia" w:ascii="宋体" w:hAnsi="宋体"/>
          <w:sz w:val="24"/>
          <w:lang w:eastAsia="zh-CN"/>
        </w:rPr>
        <w:t>、</w:t>
      </w:r>
      <w:r>
        <w:rPr>
          <w:rFonts w:hint="eastAsia" w:ascii="宋体" w:hAnsi="宋体"/>
          <w:sz w:val="24"/>
        </w:rPr>
        <w:t>202</w:t>
      </w:r>
      <w:r>
        <w:rPr>
          <w:rFonts w:hint="eastAsia" w:ascii="宋体" w:hAnsi="宋体"/>
          <w:sz w:val="24"/>
          <w:lang w:val="en-US" w:eastAsia="zh-CN"/>
        </w:rPr>
        <w:t>2</w:t>
      </w:r>
      <w:r>
        <w:rPr>
          <w:rFonts w:ascii="宋体" w:hAnsi="宋体"/>
          <w:sz w:val="24"/>
        </w:rPr>
        <w:t>年第</w:t>
      </w:r>
      <w:r>
        <w:rPr>
          <w:rFonts w:hint="eastAsia" w:ascii="宋体" w:hAnsi="宋体"/>
          <w:sz w:val="24"/>
          <w:lang w:val="en-US" w:eastAsia="zh-CN"/>
        </w:rPr>
        <w:t>二</w:t>
      </w:r>
      <w:r>
        <w:rPr>
          <w:rFonts w:ascii="宋体" w:hAnsi="宋体"/>
          <w:sz w:val="24"/>
        </w:rPr>
        <w:t>次临时股东大会</w:t>
      </w:r>
      <w:r>
        <w:rPr>
          <w:rFonts w:hint="eastAsia" w:ascii="宋体" w:hAnsi="宋体"/>
          <w:sz w:val="24"/>
          <w:lang w:eastAsia="zh-CN"/>
        </w:rPr>
        <w:t>、</w:t>
      </w:r>
      <w:r>
        <w:rPr>
          <w:rFonts w:hint="eastAsia" w:ascii="宋体" w:hAnsi="宋体"/>
          <w:sz w:val="24"/>
        </w:rPr>
        <w:t>202</w:t>
      </w:r>
      <w:r>
        <w:rPr>
          <w:rFonts w:hint="eastAsia" w:ascii="宋体" w:hAnsi="宋体"/>
          <w:sz w:val="24"/>
          <w:lang w:val="en-US" w:eastAsia="zh-CN"/>
        </w:rPr>
        <w:t>2</w:t>
      </w:r>
      <w:r>
        <w:rPr>
          <w:rFonts w:ascii="宋体" w:hAnsi="宋体"/>
          <w:sz w:val="24"/>
        </w:rPr>
        <w:t>年第</w:t>
      </w:r>
      <w:r>
        <w:rPr>
          <w:rFonts w:hint="eastAsia" w:ascii="宋体" w:hAnsi="宋体"/>
          <w:sz w:val="24"/>
          <w:lang w:val="en-US" w:eastAsia="zh-CN"/>
        </w:rPr>
        <w:t>三</w:t>
      </w:r>
      <w:r>
        <w:rPr>
          <w:rFonts w:ascii="宋体" w:hAnsi="宋体"/>
          <w:sz w:val="24"/>
        </w:rPr>
        <w:t>次临时股东大会</w:t>
      </w:r>
      <w:r>
        <w:rPr>
          <w:rFonts w:hint="eastAsia" w:ascii="宋体" w:hAnsi="宋体"/>
          <w:sz w:val="24"/>
          <w:lang w:eastAsia="zh-CN"/>
        </w:rPr>
        <w:t>、</w:t>
      </w:r>
      <w:r>
        <w:rPr>
          <w:rFonts w:hint="eastAsia" w:ascii="宋体" w:hAnsi="宋体"/>
          <w:sz w:val="24"/>
        </w:rPr>
        <w:t>202</w:t>
      </w:r>
      <w:r>
        <w:rPr>
          <w:rFonts w:hint="eastAsia" w:ascii="宋体" w:hAnsi="宋体"/>
          <w:sz w:val="24"/>
          <w:lang w:val="en-US" w:eastAsia="zh-CN"/>
        </w:rPr>
        <w:t>2</w:t>
      </w:r>
      <w:r>
        <w:rPr>
          <w:rFonts w:ascii="宋体" w:hAnsi="宋体"/>
          <w:sz w:val="24"/>
        </w:rPr>
        <w:t>年第</w:t>
      </w:r>
      <w:r>
        <w:rPr>
          <w:rFonts w:hint="eastAsia" w:ascii="宋体" w:hAnsi="宋体"/>
          <w:sz w:val="24"/>
          <w:lang w:val="en-US" w:eastAsia="zh-CN"/>
        </w:rPr>
        <w:t>四</w:t>
      </w:r>
      <w:r>
        <w:rPr>
          <w:rFonts w:ascii="宋体" w:hAnsi="宋体"/>
          <w:sz w:val="24"/>
        </w:rPr>
        <w:t>次临时股东大会</w:t>
      </w:r>
      <w:r>
        <w:rPr>
          <w:rFonts w:hint="eastAsia" w:ascii="宋体" w:hAnsi="宋体"/>
          <w:sz w:val="24"/>
        </w:rPr>
        <w:t>，202</w:t>
      </w:r>
      <w:r>
        <w:rPr>
          <w:rFonts w:hint="eastAsia" w:ascii="宋体" w:hAnsi="宋体"/>
          <w:sz w:val="24"/>
          <w:lang w:val="en-US" w:eastAsia="zh-CN"/>
        </w:rPr>
        <w:t>2</w:t>
      </w:r>
      <w:r>
        <w:rPr>
          <w:rFonts w:ascii="宋体" w:hAnsi="宋体"/>
          <w:sz w:val="24"/>
        </w:rPr>
        <w:t>年第</w:t>
      </w:r>
      <w:r>
        <w:rPr>
          <w:rFonts w:hint="eastAsia" w:ascii="宋体" w:hAnsi="宋体"/>
          <w:sz w:val="24"/>
          <w:lang w:val="en-US" w:eastAsia="zh-CN"/>
        </w:rPr>
        <w:t>五</w:t>
      </w:r>
      <w:r>
        <w:rPr>
          <w:rFonts w:ascii="宋体" w:hAnsi="宋体"/>
          <w:sz w:val="24"/>
        </w:rPr>
        <w:t>次临时股东大会</w:t>
      </w:r>
      <w:r>
        <w:rPr>
          <w:rFonts w:hint="eastAsia" w:ascii="宋体" w:hAnsi="宋体"/>
          <w:sz w:val="24"/>
        </w:rPr>
        <w:t>，会议的召集、召开与表决程序符合《公司法》、《深圳证券交易所创业板股票上市规则》及《公司章程》、《股东大会议事规则》等法律、法规及规范性文件的规定，董事会按股东大会的审议结果执行了决议。</w:t>
      </w:r>
      <w:r>
        <w:rPr>
          <w:rFonts w:ascii="宋体" w:hAnsi="宋体"/>
          <w:sz w:val="24"/>
        </w:rPr>
        <w:t xml:space="preserve"> </w:t>
      </w:r>
    </w:p>
    <w:p>
      <w:pPr>
        <w:spacing w:line="520" w:lineRule="exact"/>
        <w:ind w:firstLine="482" w:firstLineChars="200"/>
        <w:rPr>
          <w:rFonts w:hAnsi="宋体"/>
          <w:b/>
          <w:sz w:val="24"/>
        </w:rPr>
      </w:pPr>
      <w:r>
        <w:rPr>
          <w:rFonts w:hint="eastAsia" w:hAnsi="宋体"/>
          <w:b/>
          <w:sz w:val="24"/>
        </w:rPr>
        <w:t>（三）专业委员会的工作情况</w:t>
      </w:r>
    </w:p>
    <w:p>
      <w:pPr>
        <w:spacing w:line="520" w:lineRule="exact"/>
        <w:ind w:firstLine="482" w:firstLineChars="200"/>
        <w:rPr>
          <w:rFonts w:ascii="宋体" w:hAnsi="宋体"/>
          <w:b/>
          <w:bCs/>
          <w:sz w:val="24"/>
        </w:rPr>
      </w:pPr>
      <w:r>
        <w:rPr>
          <w:rFonts w:hint="eastAsia" w:ascii="宋体" w:hAnsi="宋体"/>
          <w:b/>
          <w:bCs/>
          <w:sz w:val="24"/>
        </w:rPr>
        <w:t>1</w:t>
      </w:r>
      <w:r>
        <w:rPr>
          <w:rFonts w:ascii="宋体" w:hAnsi="宋体"/>
          <w:b/>
          <w:bCs/>
          <w:sz w:val="24"/>
        </w:rPr>
        <w:t xml:space="preserve">、审计委员会履职情况 </w:t>
      </w:r>
    </w:p>
    <w:p>
      <w:pPr>
        <w:spacing w:line="520" w:lineRule="exact"/>
        <w:ind w:firstLine="480" w:firstLineChars="200"/>
        <w:rPr>
          <w:rFonts w:ascii="宋体" w:hAnsi="宋体"/>
          <w:sz w:val="24"/>
        </w:rPr>
      </w:pPr>
      <w:r>
        <w:rPr>
          <w:rFonts w:ascii="宋体" w:hAnsi="宋体"/>
          <w:sz w:val="24"/>
        </w:rPr>
        <w:t>公司审计委员会根据《公司法》《证券法》《公司章程》等有关规定，积极履行职责。</w:t>
      </w:r>
      <w:r>
        <w:rPr>
          <w:rFonts w:hint="eastAsia" w:ascii="宋体" w:hAnsi="宋体"/>
          <w:sz w:val="24"/>
        </w:rPr>
        <w:t>报告期内</w:t>
      </w:r>
      <w:r>
        <w:rPr>
          <w:rFonts w:ascii="宋体" w:hAnsi="宋体"/>
          <w:sz w:val="24"/>
        </w:rPr>
        <w:t>，审计委员会定期了解公司财务状况和经营情况</w:t>
      </w:r>
      <w:r>
        <w:rPr>
          <w:rFonts w:hint="eastAsia" w:ascii="宋体" w:hAnsi="宋体"/>
          <w:sz w:val="24"/>
        </w:rPr>
        <w:t>、</w:t>
      </w:r>
      <w:r>
        <w:rPr>
          <w:rFonts w:ascii="宋体" w:hAnsi="宋体"/>
          <w:sz w:val="24"/>
        </w:rPr>
        <w:t>内部控制制度的完善与执行</w:t>
      </w:r>
      <w:r>
        <w:rPr>
          <w:rFonts w:hint="eastAsia" w:ascii="宋体" w:hAnsi="宋体"/>
          <w:sz w:val="24"/>
        </w:rPr>
        <w:t>情况</w:t>
      </w:r>
      <w:r>
        <w:rPr>
          <w:rFonts w:ascii="宋体" w:hAnsi="宋体"/>
          <w:sz w:val="24"/>
        </w:rPr>
        <w:t>，督促和指导内审部门对公司财务管理运行情况进行定期和不定期的检查和评估</w:t>
      </w:r>
      <w:r>
        <w:rPr>
          <w:rFonts w:hint="eastAsia" w:ascii="宋体" w:hAnsi="宋体"/>
          <w:sz w:val="24"/>
        </w:rPr>
        <w:t>，</w:t>
      </w:r>
      <w:r>
        <w:rPr>
          <w:rFonts w:ascii="宋体" w:hAnsi="宋体"/>
          <w:sz w:val="24"/>
        </w:rPr>
        <w:t>与会计师事务所就年度审计报告编制进行沟通与交流</w:t>
      </w:r>
      <w:r>
        <w:rPr>
          <w:rFonts w:hint="eastAsia" w:ascii="宋体" w:hAnsi="宋体"/>
          <w:sz w:val="24"/>
        </w:rPr>
        <w:t>。报告期审计委员会召开了</w:t>
      </w:r>
      <w:r>
        <w:rPr>
          <w:rFonts w:hint="eastAsia" w:ascii="宋体" w:hAnsi="宋体"/>
          <w:sz w:val="24"/>
          <w:lang w:val="en-US" w:eastAsia="zh-CN"/>
        </w:rPr>
        <w:t>五次</w:t>
      </w:r>
      <w:r>
        <w:rPr>
          <w:rFonts w:hint="eastAsia" w:ascii="宋体" w:hAnsi="宋体"/>
          <w:sz w:val="24"/>
        </w:rPr>
        <w:t>会议，审议了各期定期报告、内部控制自我评价报告、</w:t>
      </w:r>
      <w:r>
        <w:rPr>
          <w:rFonts w:hint="eastAsia" w:ascii="宋体" w:hAnsi="宋体"/>
          <w:sz w:val="24"/>
          <w:lang w:val="en-US" w:eastAsia="zh-CN"/>
        </w:rPr>
        <w:t>利润分配预案、</w:t>
      </w:r>
      <w:r>
        <w:rPr>
          <w:rFonts w:hint="eastAsia" w:ascii="宋体" w:hAnsi="宋体"/>
          <w:sz w:val="24"/>
        </w:rPr>
        <w:t>募集资金使用情况、财务决算报告、内审部</w:t>
      </w:r>
      <w:r>
        <w:rPr>
          <w:rFonts w:ascii="宋体" w:hAnsi="宋体"/>
          <w:sz w:val="24"/>
        </w:rPr>
        <w:t>工作报告和工作计划</w:t>
      </w:r>
      <w:r>
        <w:rPr>
          <w:rFonts w:hint="eastAsia" w:ascii="宋体" w:hAnsi="宋体"/>
          <w:sz w:val="24"/>
        </w:rPr>
        <w:t>等议案，并</w:t>
      </w:r>
      <w:r>
        <w:rPr>
          <w:rFonts w:ascii="宋体" w:hAnsi="宋体"/>
          <w:sz w:val="24"/>
        </w:rPr>
        <w:t xml:space="preserve">对会计师事务所的工作进行评价，向董事会提出续聘建议。 </w:t>
      </w:r>
    </w:p>
    <w:p>
      <w:pPr>
        <w:spacing w:line="520" w:lineRule="exact"/>
        <w:ind w:firstLine="482" w:firstLineChars="200"/>
        <w:rPr>
          <w:rFonts w:ascii="宋体" w:hAnsi="宋体"/>
          <w:b/>
          <w:bCs/>
          <w:sz w:val="24"/>
        </w:rPr>
      </w:pPr>
      <w:r>
        <w:rPr>
          <w:rFonts w:ascii="宋体" w:hAnsi="宋体"/>
          <w:b/>
          <w:bCs/>
          <w:sz w:val="24"/>
        </w:rPr>
        <w:t xml:space="preserve">2、提名委员会履职情况 </w:t>
      </w:r>
    </w:p>
    <w:p>
      <w:pPr>
        <w:spacing w:line="520" w:lineRule="exact"/>
        <w:ind w:firstLine="480" w:firstLineChars="200"/>
        <w:rPr>
          <w:rFonts w:ascii="宋体" w:hAnsi="宋体"/>
          <w:sz w:val="24"/>
        </w:rPr>
      </w:pPr>
      <w:r>
        <w:rPr>
          <w:rFonts w:ascii="宋体" w:hAnsi="宋体"/>
          <w:sz w:val="24"/>
        </w:rPr>
        <w:t>报告期内，公司提名委员会</w:t>
      </w:r>
      <w:r>
        <w:rPr>
          <w:rFonts w:hint="eastAsia" w:ascii="宋体" w:hAnsi="宋体"/>
          <w:sz w:val="24"/>
        </w:rPr>
        <w:t>共召开</w:t>
      </w:r>
      <w:r>
        <w:rPr>
          <w:rFonts w:hint="eastAsia" w:ascii="宋体" w:hAnsi="宋体"/>
          <w:sz w:val="24"/>
          <w:lang w:val="en-US" w:eastAsia="zh-CN"/>
        </w:rPr>
        <w:t>三次</w:t>
      </w:r>
      <w:r>
        <w:rPr>
          <w:rFonts w:hint="eastAsia" w:ascii="宋体" w:hAnsi="宋体"/>
          <w:sz w:val="24"/>
        </w:rPr>
        <w:t>会议，</w:t>
      </w:r>
      <w:r>
        <w:rPr>
          <w:rFonts w:ascii="宋体" w:hAnsi="宋体"/>
          <w:sz w:val="24"/>
        </w:rPr>
        <w:t>结合公司实际情况，在</w:t>
      </w:r>
      <w:r>
        <w:rPr>
          <w:rFonts w:hint="eastAsia" w:ascii="宋体" w:hAnsi="宋体"/>
          <w:sz w:val="24"/>
        </w:rPr>
        <w:t>公司聘任</w:t>
      </w:r>
      <w:r>
        <w:rPr>
          <w:rFonts w:hint="eastAsia" w:ascii="宋体" w:hAnsi="宋体"/>
          <w:sz w:val="24"/>
          <w:lang w:val="en-US" w:eastAsia="zh-CN"/>
        </w:rPr>
        <w:t>董事、监事、高管</w:t>
      </w:r>
      <w:r>
        <w:rPr>
          <w:rFonts w:ascii="宋体" w:hAnsi="宋体"/>
          <w:sz w:val="24"/>
        </w:rPr>
        <w:t>时提出了重要、合理的建议，切实履行提名委员会的工作职责。</w:t>
      </w:r>
    </w:p>
    <w:p>
      <w:pPr>
        <w:spacing w:line="520" w:lineRule="exact"/>
        <w:ind w:firstLine="482" w:firstLineChars="200"/>
        <w:rPr>
          <w:rFonts w:ascii="宋体" w:hAnsi="宋体"/>
          <w:b/>
          <w:bCs/>
          <w:sz w:val="24"/>
        </w:rPr>
      </w:pPr>
      <w:r>
        <w:rPr>
          <w:rFonts w:ascii="宋体" w:hAnsi="宋体"/>
          <w:b/>
          <w:bCs/>
          <w:sz w:val="24"/>
        </w:rPr>
        <w:t xml:space="preserve">3、薪酬与考核委员会履职情况 </w:t>
      </w:r>
    </w:p>
    <w:p>
      <w:pPr>
        <w:spacing w:line="520" w:lineRule="exact"/>
        <w:ind w:firstLine="480" w:firstLineChars="200"/>
        <w:rPr>
          <w:rFonts w:ascii="宋体" w:hAnsi="宋体"/>
          <w:sz w:val="24"/>
        </w:rPr>
      </w:pPr>
      <w:r>
        <w:rPr>
          <w:rFonts w:ascii="宋体" w:hAnsi="宋体"/>
          <w:sz w:val="24"/>
        </w:rPr>
        <w:t>报告期内，公司董事会薪酬与考核委员会召开了</w:t>
      </w:r>
      <w:r>
        <w:rPr>
          <w:rFonts w:hint="eastAsia" w:ascii="宋体" w:hAnsi="宋体"/>
          <w:sz w:val="24"/>
          <w:lang w:val="en-US" w:eastAsia="zh-CN"/>
        </w:rPr>
        <w:t>二次</w:t>
      </w:r>
      <w:r>
        <w:rPr>
          <w:rFonts w:ascii="宋体" w:hAnsi="宋体"/>
          <w:sz w:val="24"/>
        </w:rPr>
        <w:t xml:space="preserve">会议，对董事、监事与 高级管理人员的年度薪酬发放进行了审核，如实披露相关年度薪酬。公司董事、 监事及高级管理人员的薪酬情况符合公司薪酬管理制度，与公司现阶段发展状况 相符合。 </w:t>
      </w:r>
    </w:p>
    <w:p>
      <w:pPr>
        <w:spacing w:line="520" w:lineRule="exact"/>
        <w:ind w:firstLine="482" w:firstLineChars="200"/>
        <w:rPr>
          <w:rFonts w:ascii="宋体" w:hAnsi="宋体"/>
          <w:b/>
          <w:bCs/>
          <w:sz w:val="24"/>
        </w:rPr>
      </w:pPr>
      <w:r>
        <w:rPr>
          <w:rFonts w:ascii="宋体" w:hAnsi="宋体"/>
          <w:b/>
          <w:bCs/>
          <w:sz w:val="24"/>
        </w:rPr>
        <w:t>4</w:t>
      </w:r>
      <w:r>
        <w:rPr>
          <w:rFonts w:hint="eastAsia" w:ascii="宋体" w:hAnsi="宋体"/>
          <w:b/>
          <w:bCs/>
          <w:sz w:val="24"/>
        </w:rPr>
        <w:t>、</w:t>
      </w:r>
      <w:r>
        <w:rPr>
          <w:rFonts w:ascii="宋体" w:hAnsi="宋体"/>
          <w:b/>
          <w:bCs/>
          <w:sz w:val="24"/>
        </w:rPr>
        <w:t xml:space="preserve">战略委员会履职情况 </w:t>
      </w:r>
    </w:p>
    <w:p>
      <w:pPr>
        <w:spacing w:line="520" w:lineRule="exact"/>
        <w:ind w:firstLine="480" w:firstLineChars="200"/>
        <w:rPr>
          <w:rFonts w:ascii="宋体" w:hAnsi="宋体"/>
          <w:sz w:val="24"/>
        </w:rPr>
      </w:pPr>
      <w:r>
        <w:rPr>
          <w:rFonts w:ascii="宋体" w:hAnsi="宋体"/>
          <w:sz w:val="24"/>
        </w:rPr>
        <w:t>报告期内，公司董事会战略委员会共召开了</w:t>
      </w:r>
      <w:r>
        <w:rPr>
          <w:rFonts w:hint="eastAsia" w:ascii="宋体" w:hAnsi="宋体"/>
          <w:sz w:val="24"/>
          <w:highlight w:val="none"/>
        </w:rPr>
        <w:t>三</w:t>
      </w:r>
      <w:r>
        <w:rPr>
          <w:rFonts w:ascii="宋体" w:hAnsi="宋体"/>
          <w:sz w:val="24"/>
          <w:highlight w:val="none"/>
        </w:rPr>
        <w:t>次</w:t>
      </w:r>
      <w:r>
        <w:rPr>
          <w:rFonts w:ascii="宋体" w:hAnsi="宋体"/>
          <w:sz w:val="24"/>
        </w:rPr>
        <w:t>会议，</w:t>
      </w:r>
      <w:r>
        <w:rPr>
          <w:rFonts w:hint="eastAsia" w:ascii="宋体" w:hAnsi="宋体"/>
          <w:sz w:val="24"/>
        </w:rPr>
        <w:t>结合公司整体战略</w:t>
      </w:r>
      <w:r>
        <w:rPr>
          <w:rFonts w:hint="eastAsia" w:ascii="宋体" w:hAnsi="宋体"/>
          <w:sz w:val="24"/>
          <w:lang w:val="en-US" w:eastAsia="zh-CN"/>
        </w:rPr>
        <w:t>规划</w:t>
      </w:r>
      <w:r>
        <w:rPr>
          <w:rFonts w:hint="eastAsia" w:ascii="宋体" w:hAnsi="宋体"/>
          <w:sz w:val="24"/>
        </w:rPr>
        <w:t>，对</w:t>
      </w:r>
      <w:r>
        <w:rPr>
          <w:rFonts w:ascii="宋体" w:hAnsi="宋体"/>
          <w:sz w:val="24"/>
        </w:rPr>
        <w:t>公司</w:t>
      </w:r>
      <w:r>
        <w:rPr>
          <w:rFonts w:hint="eastAsia" w:ascii="宋体" w:hAnsi="宋体"/>
          <w:sz w:val="24"/>
          <w:lang w:val="en-US" w:eastAsia="zh-CN"/>
        </w:rPr>
        <w:t>向特定对象发行股票、投资数智仓储基地、投资显示玻璃物流分拨基地</w:t>
      </w:r>
      <w:r>
        <w:rPr>
          <w:rFonts w:hint="eastAsia" w:ascii="宋体" w:hAnsi="宋体"/>
          <w:sz w:val="24"/>
        </w:rPr>
        <w:t>、</w:t>
      </w:r>
      <w:r>
        <w:rPr>
          <w:rFonts w:hint="eastAsia" w:ascii="宋体" w:hAnsi="宋体"/>
          <w:sz w:val="24"/>
          <w:lang w:val="en-US" w:eastAsia="zh-CN"/>
        </w:rPr>
        <w:t>签订项目投资合作协议</w:t>
      </w:r>
      <w:r>
        <w:rPr>
          <w:rFonts w:hint="eastAsia" w:ascii="宋体" w:hAnsi="宋体"/>
          <w:sz w:val="24"/>
        </w:rPr>
        <w:t>、</w:t>
      </w:r>
      <w:r>
        <w:rPr>
          <w:rFonts w:hint="eastAsia" w:ascii="宋体" w:hAnsi="宋体"/>
          <w:sz w:val="24"/>
          <w:lang w:val="en-US" w:eastAsia="zh-CN"/>
        </w:rPr>
        <w:t>签署投资框架协议</w:t>
      </w:r>
      <w:r>
        <w:rPr>
          <w:rFonts w:hint="eastAsia" w:ascii="宋体" w:hAnsi="宋体"/>
          <w:sz w:val="24"/>
        </w:rPr>
        <w:t>等影响</w:t>
      </w:r>
      <w:r>
        <w:rPr>
          <w:rFonts w:ascii="宋体" w:hAnsi="宋体"/>
          <w:sz w:val="24"/>
        </w:rPr>
        <w:t>公司未来发展的重大事项进行研究并提出建议，积极履行战略委员会的职责。</w:t>
      </w:r>
    </w:p>
    <w:p>
      <w:pPr>
        <w:spacing w:line="520" w:lineRule="exact"/>
        <w:ind w:firstLine="482" w:firstLineChars="200"/>
        <w:rPr>
          <w:rFonts w:ascii="宋体" w:hAnsi="宋体"/>
          <w:b/>
          <w:bCs/>
          <w:sz w:val="24"/>
        </w:rPr>
      </w:pPr>
      <w:r>
        <w:rPr>
          <w:rFonts w:hint="eastAsia" w:ascii="宋体" w:hAnsi="宋体"/>
          <w:b/>
          <w:bCs/>
          <w:sz w:val="24"/>
        </w:rPr>
        <w:t>（四）</w:t>
      </w:r>
      <w:r>
        <w:rPr>
          <w:rFonts w:ascii="宋体" w:hAnsi="宋体"/>
          <w:b/>
          <w:bCs/>
          <w:sz w:val="24"/>
        </w:rPr>
        <w:t xml:space="preserve">独立董事履行职责情况 </w:t>
      </w:r>
    </w:p>
    <w:p>
      <w:pPr>
        <w:spacing w:line="520" w:lineRule="exact"/>
        <w:ind w:firstLine="480" w:firstLineChars="200"/>
        <w:rPr>
          <w:rFonts w:ascii="宋体" w:hAnsi="宋体"/>
          <w:sz w:val="24"/>
        </w:rPr>
      </w:pPr>
      <w:r>
        <w:rPr>
          <w:rFonts w:ascii="宋体" w:hAnsi="宋体"/>
          <w:sz w:val="24"/>
        </w:rPr>
        <w:t xml:space="preserve">公司独立董事根据《公司法》《证券法》《上市公司建立独立董事制度指导意见》和公司《独立董事制度》的有关规定认真履行职责，参与公司重大事项的决策，出席和列席了报告期内历次董事会和股东大会，对董事会议案进行认真审议，对重大事项发表了独立意见，充分体现了独立董事在董事会及专门委员中独立地位，维护公司和股东的合法权益，促进公司规范运作。 </w:t>
      </w:r>
    </w:p>
    <w:p>
      <w:pPr>
        <w:spacing w:line="520" w:lineRule="exact"/>
        <w:ind w:firstLine="482" w:firstLineChars="200"/>
        <w:rPr>
          <w:rFonts w:ascii="宋体" w:hAnsi="宋体"/>
          <w:b/>
          <w:bCs/>
          <w:sz w:val="24"/>
        </w:rPr>
      </w:pPr>
      <w:r>
        <w:rPr>
          <w:rFonts w:ascii="宋体" w:hAnsi="宋体"/>
          <w:b/>
          <w:bCs/>
          <w:sz w:val="24"/>
        </w:rPr>
        <w:t xml:space="preserve">（五）严格执行信息披露管理制度 </w:t>
      </w:r>
    </w:p>
    <w:p>
      <w:pPr>
        <w:spacing w:line="520" w:lineRule="exact"/>
        <w:ind w:firstLine="480" w:firstLineChars="200"/>
        <w:rPr>
          <w:rFonts w:ascii="宋体" w:hAnsi="宋体"/>
          <w:sz w:val="24"/>
        </w:rPr>
      </w:pPr>
      <w:r>
        <w:rPr>
          <w:rFonts w:hint="eastAsia" w:ascii="宋体" w:hAnsi="宋体"/>
          <w:sz w:val="24"/>
        </w:rPr>
        <w:t>公司报告期内积极参与监管部门、保荐机构及咨询机构的各项培训，并在公司内部会议及日常工作过程中积极开展关于信息披露及规范运作的相关培训、宣导</w:t>
      </w:r>
      <w:r>
        <w:rPr>
          <w:rFonts w:hint="eastAsia" w:ascii="宋体" w:hAnsi="宋体"/>
          <w:sz w:val="24"/>
          <w:lang w:eastAsia="zh-CN"/>
        </w:rPr>
        <w:t>；</w:t>
      </w:r>
      <w:r>
        <w:rPr>
          <w:rFonts w:hint="eastAsia" w:ascii="宋体" w:hAnsi="宋体"/>
          <w:sz w:val="24"/>
          <w:lang w:val="en-US" w:eastAsia="zh-CN"/>
        </w:rPr>
        <w:t>公司持续</w:t>
      </w:r>
      <w:r>
        <w:rPr>
          <w:rFonts w:hint="eastAsia" w:ascii="宋体" w:hAnsi="宋体"/>
          <w:sz w:val="24"/>
        </w:rPr>
        <w:t>关注资本市场规范化、法治化进程，密切跟踪监管转型和政策动态，努力提升公司治理效果和治理水平，切实保障公司所有股东</w:t>
      </w:r>
      <w:r>
        <w:rPr>
          <w:rFonts w:hint="eastAsia" w:ascii="宋体" w:hAnsi="宋体"/>
          <w:sz w:val="24"/>
          <w:lang w:val="en-US" w:eastAsia="zh-CN"/>
        </w:rPr>
        <w:t>的权益</w:t>
      </w:r>
      <w:r>
        <w:rPr>
          <w:rFonts w:hint="eastAsia" w:ascii="宋体" w:hAnsi="宋体"/>
          <w:sz w:val="24"/>
        </w:rPr>
        <w:t>。</w:t>
      </w:r>
      <w:r>
        <w:rPr>
          <w:rFonts w:hint="eastAsia" w:ascii="宋体" w:hAnsi="宋体"/>
          <w:sz w:val="24"/>
          <w:lang w:val="en-US" w:eastAsia="zh-CN"/>
        </w:rPr>
        <w:t>公司</w:t>
      </w:r>
      <w:r>
        <w:rPr>
          <w:rFonts w:ascii="宋体" w:hAnsi="宋体"/>
          <w:sz w:val="24"/>
        </w:rPr>
        <w:t>按照《深圳证券交易所</w:t>
      </w:r>
      <w:r>
        <w:rPr>
          <w:rFonts w:hint="eastAsia" w:ascii="宋体" w:hAnsi="宋体"/>
          <w:sz w:val="24"/>
        </w:rPr>
        <w:t>创业板</w:t>
      </w:r>
      <w:r>
        <w:rPr>
          <w:rFonts w:ascii="宋体" w:hAnsi="宋体"/>
          <w:sz w:val="24"/>
        </w:rPr>
        <w:t>股票上市规则》</w:t>
      </w:r>
      <w:r>
        <w:rPr>
          <w:rFonts w:hint="eastAsia" w:ascii="宋体" w:hAnsi="宋体"/>
          <w:sz w:val="24"/>
        </w:rPr>
        <w:t>、</w:t>
      </w:r>
      <w:r>
        <w:rPr>
          <w:rFonts w:ascii="宋体" w:hAnsi="宋体"/>
          <w:sz w:val="24"/>
        </w:rPr>
        <w:t>《</w:t>
      </w:r>
      <w:r>
        <w:rPr>
          <w:rFonts w:hint="eastAsia" w:ascii="宋体" w:hAnsi="宋体"/>
          <w:sz w:val="24"/>
        </w:rPr>
        <w:t>深圳证券交易所上市公司自律监管指引第2号——创业板上市公司规范运作</w:t>
      </w:r>
      <w:r>
        <w:rPr>
          <w:rFonts w:ascii="宋体" w:hAnsi="宋体"/>
          <w:sz w:val="24"/>
        </w:rPr>
        <w:t>》的要求，进一步严格落实信息披露制度。</w:t>
      </w:r>
    </w:p>
    <w:p>
      <w:pPr>
        <w:spacing w:line="520" w:lineRule="exact"/>
        <w:ind w:firstLine="480" w:firstLineChars="200"/>
        <w:rPr>
          <w:rFonts w:ascii="宋体" w:hAnsi="宋体"/>
          <w:sz w:val="24"/>
        </w:rPr>
      </w:pPr>
      <w:r>
        <w:rPr>
          <w:rFonts w:ascii="宋体" w:hAnsi="宋体"/>
          <w:sz w:val="24"/>
        </w:rPr>
        <w:t>公司认真履行定期报告</w:t>
      </w:r>
      <w:r>
        <w:rPr>
          <w:rFonts w:hint="eastAsia" w:ascii="宋体" w:hAnsi="宋体"/>
          <w:sz w:val="24"/>
        </w:rPr>
        <w:t>及各项临时公告</w:t>
      </w:r>
      <w:r>
        <w:rPr>
          <w:rFonts w:ascii="宋体" w:hAnsi="宋体"/>
          <w:sz w:val="24"/>
        </w:rPr>
        <w:t>的披露义务，确保信息披露内容真实、准确、完整，没有虚假性记载、误导性陈述和重大遗漏，使投资者能够及时、准确地获得公司信息，从而更好的保障中小股东的权益。</w:t>
      </w:r>
    </w:p>
    <w:p>
      <w:pPr>
        <w:spacing w:line="520" w:lineRule="exact"/>
        <w:ind w:firstLine="482" w:firstLineChars="200"/>
        <w:rPr>
          <w:rFonts w:hAnsi="宋体"/>
          <w:b/>
          <w:sz w:val="24"/>
        </w:rPr>
      </w:pPr>
      <w:r>
        <w:rPr>
          <w:rFonts w:hint="eastAsia" w:hAnsi="宋体"/>
          <w:b/>
          <w:sz w:val="24"/>
        </w:rPr>
        <w:t>三、 202</w:t>
      </w:r>
      <w:r>
        <w:rPr>
          <w:rFonts w:hint="eastAsia" w:hAnsi="宋体"/>
          <w:b/>
          <w:sz w:val="24"/>
          <w:lang w:val="en-US" w:eastAsia="zh-CN"/>
        </w:rPr>
        <w:t>3</w:t>
      </w:r>
      <w:r>
        <w:rPr>
          <w:rFonts w:hint="eastAsia" w:hAnsi="宋体"/>
          <w:b/>
          <w:sz w:val="24"/>
        </w:rPr>
        <w:t>年董事会工作重点</w:t>
      </w:r>
    </w:p>
    <w:p>
      <w:pPr>
        <w:spacing w:line="520" w:lineRule="exact"/>
        <w:ind w:firstLine="480" w:firstLineChars="200"/>
        <w:rPr>
          <w:rFonts w:hAnsi="宋体"/>
          <w:sz w:val="24"/>
        </w:rPr>
      </w:pPr>
      <w:r>
        <w:rPr>
          <w:rFonts w:hAnsi="宋体"/>
          <w:sz w:val="24"/>
        </w:rPr>
        <w:t>1</w:t>
      </w:r>
      <w:r>
        <w:rPr>
          <w:rFonts w:hint="eastAsia" w:hAnsi="宋体"/>
          <w:sz w:val="24"/>
        </w:rPr>
        <w:t>、进一步完善上市公司法人治理结构，健全公司规章制度，提升规范化运作水平，同时加强内控制度建设，不断完善风险控制体系，优化公司战略规划，确保实现公司的可持续性健康发展，切实保障全体股东与公司利益。</w:t>
      </w:r>
    </w:p>
    <w:p>
      <w:pPr>
        <w:spacing w:line="520" w:lineRule="exact"/>
        <w:ind w:firstLine="480" w:firstLineChars="200"/>
        <w:rPr>
          <w:rFonts w:hAnsi="宋体"/>
          <w:sz w:val="24"/>
        </w:rPr>
      </w:pPr>
      <w:r>
        <w:rPr>
          <w:rFonts w:hAnsi="宋体"/>
          <w:sz w:val="24"/>
        </w:rPr>
        <w:t>2</w:t>
      </w:r>
      <w:r>
        <w:rPr>
          <w:rFonts w:hint="eastAsia" w:hAnsi="宋体"/>
          <w:sz w:val="24"/>
        </w:rPr>
        <w:t>、加强投资者关系管理工作，加强投资者交流，</w:t>
      </w:r>
      <w:r>
        <w:rPr>
          <w:rFonts w:hAnsi="宋体"/>
          <w:sz w:val="24"/>
        </w:rPr>
        <w:t>组织相关的投资者说明会</w:t>
      </w:r>
      <w:r>
        <w:rPr>
          <w:rFonts w:hint="eastAsia" w:hAnsi="宋体"/>
          <w:sz w:val="24"/>
        </w:rPr>
        <w:t>并及时披露相关信息，</w:t>
      </w:r>
      <w:r>
        <w:rPr>
          <w:rFonts w:hAnsi="宋体"/>
          <w:sz w:val="24"/>
        </w:rPr>
        <w:t>为广大投资者解读</w:t>
      </w:r>
      <w:r>
        <w:rPr>
          <w:rFonts w:hint="eastAsia" w:hAnsi="宋体"/>
          <w:sz w:val="24"/>
        </w:rPr>
        <w:t>公司经营</w:t>
      </w:r>
      <w:r>
        <w:rPr>
          <w:rFonts w:hAnsi="宋体"/>
          <w:sz w:val="24"/>
        </w:rPr>
        <w:t>相关数据和</w:t>
      </w:r>
      <w:r>
        <w:rPr>
          <w:rFonts w:hint="eastAsia" w:hAnsi="宋体"/>
          <w:sz w:val="24"/>
        </w:rPr>
        <w:t>投资者</w:t>
      </w:r>
      <w:r>
        <w:rPr>
          <w:rFonts w:hAnsi="宋体"/>
          <w:sz w:val="24"/>
        </w:rPr>
        <w:t>关心</w:t>
      </w:r>
      <w:r>
        <w:rPr>
          <w:rFonts w:hint="eastAsia" w:hAnsi="宋体"/>
          <w:sz w:val="24"/>
        </w:rPr>
        <w:t>的</w:t>
      </w:r>
      <w:r>
        <w:rPr>
          <w:rFonts w:hAnsi="宋体"/>
          <w:sz w:val="24"/>
        </w:rPr>
        <w:t>问题</w:t>
      </w:r>
      <w:r>
        <w:rPr>
          <w:rFonts w:hint="eastAsia" w:hAnsi="宋体"/>
          <w:sz w:val="24"/>
        </w:rPr>
        <w:t>，依法维护投资者权益，特别是保护中小投资者合法权益。</w:t>
      </w:r>
    </w:p>
    <w:p>
      <w:pPr>
        <w:spacing w:line="520" w:lineRule="exact"/>
        <w:ind w:firstLine="480" w:firstLineChars="200"/>
        <w:rPr>
          <w:rFonts w:hAnsi="宋体"/>
          <w:sz w:val="24"/>
        </w:rPr>
      </w:pPr>
      <w:r>
        <w:rPr>
          <w:rFonts w:hAnsi="宋体"/>
          <w:sz w:val="24"/>
        </w:rPr>
        <w:t>3</w:t>
      </w:r>
      <w:r>
        <w:rPr>
          <w:rFonts w:hint="eastAsia" w:hAnsi="宋体"/>
          <w:sz w:val="24"/>
        </w:rPr>
        <w:t>、完善董事会日常工作。严格按照法律法规和规范性文件的有关要求运作，认真对待公司信息披露，积极落实股东大会各项决议，注重集体决策，提高公司决策的科学性、高效性和前瞻性。董事会将进一步加强自身建设，不定期组织相关人员对信息披露相关法律法规的学习和培训，严格按照《公司法》、《证券法》、《深圳证券交易所创业板股票上市规则》等法律法规的要求，认真自觉履行信息披露义务，切实提升公司规范运作水平和透明度。</w:t>
      </w:r>
    </w:p>
    <w:p>
      <w:pPr>
        <w:spacing w:line="520" w:lineRule="exact"/>
        <w:ind w:firstLine="480" w:firstLineChars="200"/>
        <w:rPr>
          <w:rFonts w:hint="eastAsia" w:hAnsi="宋体"/>
          <w:sz w:val="24"/>
        </w:rPr>
      </w:pPr>
      <w:r>
        <w:rPr>
          <w:rFonts w:hint="eastAsia" w:hAnsi="宋体"/>
          <w:sz w:val="24"/>
        </w:rPr>
        <w:t>4、</w:t>
      </w:r>
      <w:r>
        <w:rPr>
          <w:rFonts w:hint="eastAsia" w:hAnsi="宋体"/>
          <w:sz w:val="24"/>
          <w:lang w:val="en-US" w:eastAsia="zh-CN"/>
        </w:rPr>
        <w:t>进一步积极发挥董事会在公司治理中的核心作用，秉持对全体股东负责的原则，从公司实际情况及战略出发，</w:t>
      </w:r>
      <w:r>
        <w:rPr>
          <w:rFonts w:hint="eastAsia" w:hAnsi="宋体"/>
          <w:sz w:val="24"/>
        </w:rPr>
        <w:t>结合行业趋势、外部环境等因素，扎实做好日常工作，优化决策机制，持续提高公司的经营管理水平和风险防范能力，带领公司管理层和全体员工推动公司高质量可持续发展。</w:t>
      </w:r>
    </w:p>
    <w:p>
      <w:pPr>
        <w:spacing w:line="520" w:lineRule="exact"/>
        <w:ind w:firstLine="480" w:firstLineChars="200"/>
        <w:rPr>
          <w:rFonts w:hAnsi="宋体"/>
          <w:sz w:val="24"/>
        </w:rPr>
      </w:pPr>
    </w:p>
    <w:p>
      <w:pPr>
        <w:spacing w:line="520" w:lineRule="exact"/>
        <w:ind w:firstLine="482" w:firstLineChars="200"/>
        <w:rPr>
          <w:rFonts w:ascii="宋体"/>
          <w:b/>
          <w:sz w:val="24"/>
        </w:rPr>
      </w:pPr>
    </w:p>
    <w:p>
      <w:pPr>
        <w:spacing w:line="520" w:lineRule="exact"/>
        <w:ind w:firstLine="4819" w:firstLineChars="2000"/>
        <w:jc w:val="right"/>
        <w:rPr>
          <w:b/>
          <w:kern w:val="0"/>
          <w:sz w:val="24"/>
        </w:rPr>
      </w:pPr>
      <w:r>
        <w:rPr>
          <w:rFonts w:hint="eastAsia" w:hAnsi="宋体"/>
          <w:b/>
          <w:sz w:val="24"/>
        </w:rPr>
        <w:t>江苏海晨物流股份有限公司</w:t>
      </w:r>
    </w:p>
    <w:p>
      <w:pPr>
        <w:pStyle w:val="6"/>
        <w:spacing w:line="520" w:lineRule="exact"/>
        <w:ind w:left="4217" w:leftChars="2008" w:firstLine="3185" w:firstLineChars="1322"/>
        <w:rPr>
          <w:sz w:val="24"/>
          <w:szCs w:val="24"/>
        </w:rPr>
      </w:pPr>
      <w:r>
        <w:rPr>
          <w:rFonts w:hint="eastAsia"/>
          <w:sz w:val="24"/>
          <w:szCs w:val="24"/>
        </w:rPr>
        <w:t>董事会</w:t>
      </w:r>
    </w:p>
    <w:p>
      <w:pPr>
        <w:pStyle w:val="2"/>
        <w:spacing w:line="520" w:lineRule="exact"/>
        <w:jc w:val="right"/>
      </w:pPr>
      <w:r>
        <w:t xml:space="preserve">   </w:t>
      </w:r>
      <w:r>
        <w:rPr>
          <w:rFonts w:ascii="宋体" w:hAnsi="宋体"/>
          <w:sz w:val="24"/>
          <w:szCs w:val="24"/>
        </w:rPr>
        <w:t xml:space="preserve"> 202</w:t>
      </w:r>
      <w:r>
        <w:rPr>
          <w:rFonts w:hint="eastAsia" w:ascii="宋体" w:hAnsi="宋体"/>
          <w:sz w:val="24"/>
          <w:szCs w:val="24"/>
          <w:lang w:val="en-US" w:eastAsia="zh-CN"/>
        </w:rPr>
        <w:t>3</w:t>
      </w:r>
      <w:r>
        <w:rPr>
          <w:rFonts w:hint="eastAsia"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21</w:t>
      </w:r>
      <w:r>
        <w:rPr>
          <w:rFonts w:hint="eastAsia" w:ascii="宋体" w:hAnsi="宋体"/>
          <w:sz w:val="24"/>
          <w:szCs w:val="24"/>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915445409"/>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id w:val="915445409"/>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509C5"/>
    <w:multiLevelType w:val="multilevel"/>
    <w:tmpl w:val="3EA509C5"/>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43B65A1A"/>
    <w:rsid w:val="00000B53"/>
    <w:rsid w:val="00006821"/>
    <w:rsid w:val="000116D4"/>
    <w:rsid w:val="0001334B"/>
    <w:rsid w:val="00016525"/>
    <w:rsid w:val="000330BB"/>
    <w:rsid w:val="00035FA1"/>
    <w:rsid w:val="00040438"/>
    <w:rsid w:val="00047484"/>
    <w:rsid w:val="00061C7B"/>
    <w:rsid w:val="0007252D"/>
    <w:rsid w:val="00074D86"/>
    <w:rsid w:val="000A2192"/>
    <w:rsid w:val="000A4428"/>
    <w:rsid w:val="000C3BC3"/>
    <w:rsid w:val="000C521D"/>
    <w:rsid w:val="000D6227"/>
    <w:rsid w:val="000F0A92"/>
    <w:rsid w:val="000F19B9"/>
    <w:rsid w:val="00105BCD"/>
    <w:rsid w:val="0011375E"/>
    <w:rsid w:val="00141715"/>
    <w:rsid w:val="00144981"/>
    <w:rsid w:val="00150F82"/>
    <w:rsid w:val="001519DB"/>
    <w:rsid w:val="00174A84"/>
    <w:rsid w:val="001846FC"/>
    <w:rsid w:val="00190BF9"/>
    <w:rsid w:val="001B0275"/>
    <w:rsid w:val="001B1472"/>
    <w:rsid w:val="001C6863"/>
    <w:rsid w:val="001F1FD4"/>
    <w:rsid w:val="002053E3"/>
    <w:rsid w:val="00230751"/>
    <w:rsid w:val="0023157F"/>
    <w:rsid w:val="002441C7"/>
    <w:rsid w:val="00275036"/>
    <w:rsid w:val="00275239"/>
    <w:rsid w:val="00286EF4"/>
    <w:rsid w:val="002879C9"/>
    <w:rsid w:val="002974B3"/>
    <w:rsid w:val="002B0153"/>
    <w:rsid w:val="002B3037"/>
    <w:rsid w:val="002D58C7"/>
    <w:rsid w:val="002E01B2"/>
    <w:rsid w:val="002F304C"/>
    <w:rsid w:val="002F640D"/>
    <w:rsid w:val="00300291"/>
    <w:rsid w:val="003118C0"/>
    <w:rsid w:val="0031778E"/>
    <w:rsid w:val="003229F0"/>
    <w:rsid w:val="00372D8C"/>
    <w:rsid w:val="003A36C8"/>
    <w:rsid w:val="003A7BA7"/>
    <w:rsid w:val="003C2B9E"/>
    <w:rsid w:val="003C7919"/>
    <w:rsid w:val="003D33C2"/>
    <w:rsid w:val="003D49FC"/>
    <w:rsid w:val="003D70CE"/>
    <w:rsid w:val="003F063A"/>
    <w:rsid w:val="00407F2E"/>
    <w:rsid w:val="0042117C"/>
    <w:rsid w:val="004232EF"/>
    <w:rsid w:val="0043089A"/>
    <w:rsid w:val="004317BA"/>
    <w:rsid w:val="00433F2C"/>
    <w:rsid w:val="004374A9"/>
    <w:rsid w:val="00443E89"/>
    <w:rsid w:val="00454C63"/>
    <w:rsid w:val="00465F8D"/>
    <w:rsid w:val="00480B82"/>
    <w:rsid w:val="00481CFE"/>
    <w:rsid w:val="0048286C"/>
    <w:rsid w:val="00484088"/>
    <w:rsid w:val="004A01C0"/>
    <w:rsid w:val="004A3A3C"/>
    <w:rsid w:val="004A6D22"/>
    <w:rsid w:val="004B4889"/>
    <w:rsid w:val="004C7271"/>
    <w:rsid w:val="004D6C27"/>
    <w:rsid w:val="004E57E1"/>
    <w:rsid w:val="004F7B8C"/>
    <w:rsid w:val="00507D62"/>
    <w:rsid w:val="00530918"/>
    <w:rsid w:val="00536661"/>
    <w:rsid w:val="00566C0E"/>
    <w:rsid w:val="00576707"/>
    <w:rsid w:val="00590203"/>
    <w:rsid w:val="005B5354"/>
    <w:rsid w:val="005C479F"/>
    <w:rsid w:val="005C4C95"/>
    <w:rsid w:val="005E2C58"/>
    <w:rsid w:val="005E2ED9"/>
    <w:rsid w:val="005E3D4E"/>
    <w:rsid w:val="005F1A7D"/>
    <w:rsid w:val="005F36FC"/>
    <w:rsid w:val="005F40DC"/>
    <w:rsid w:val="0060333A"/>
    <w:rsid w:val="006263BC"/>
    <w:rsid w:val="00626958"/>
    <w:rsid w:val="00636B04"/>
    <w:rsid w:val="00647912"/>
    <w:rsid w:val="006503FF"/>
    <w:rsid w:val="006518C0"/>
    <w:rsid w:val="00655081"/>
    <w:rsid w:val="00673015"/>
    <w:rsid w:val="0067632A"/>
    <w:rsid w:val="006A54C8"/>
    <w:rsid w:val="006B40BC"/>
    <w:rsid w:val="006F2E37"/>
    <w:rsid w:val="006F5E60"/>
    <w:rsid w:val="00730B6F"/>
    <w:rsid w:val="00744DA4"/>
    <w:rsid w:val="0074702B"/>
    <w:rsid w:val="007654CF"/>
    <w:rsid w:val="00771CE2"/>
    <w:rsid w:val="00792EF2"/>
    <w:rsid w:val="007A4610"/>
    <w:rsid w:val="007B2B9E"/>
    <w:rsid w:val="007D25B4"/>
    <w:rsid w:val="007D5DAB"/>
    <w:rsid w:val="007F212E"/>
    <w:rsid w:val="007F60CA"/>
    <w:rsid w:val="00810F2E"/>
    <w:rsid w:val="0081332F"/>
    <w:rsid w:val="00815CA4"/>
    <w:rsid w:val="00815FC5"/>
    <w:rsid w:val="00820EDD"/>
    <w:rsid w:val="00823F5D"/>
    <w:rsid w:val="00835B62"/>
    <w:rsid w:val="00844E19"/>
    <w:rsid w:val="00851F0D"/>
    <w:rsid w:val="0086111D"/>
    <w:rsid w:val="00867150"/>
    <w:rsid w:val="00874CFA"/>
    <w:rsid w:val="00877AF9"/>
    <w:rsid w:val="008A787A"/>
    <w:rsid w:val="008C01A3"/>
    <w:rsid w:val="008C14CB"/>
    <w:rsid w:val="008D77F0"/>
    <w:rsid w:val="008E7329"/>
    <w:rsid w:val="008E7973"/>
    <w:rsid w:val="00905C13"/>
    <w:rsid w:val="0092174A"/>
    <w:rsid w:val="00922658"/>
    <w:rsid w:val="009236DB"/>
    <w:rsid w:val="00923A6B"/>
    <w:rsid w:val="00936658"/>
    <w:rsid w:val="00946892"/>
    <w:rsid w:val="009719AD"/>
    <w:rsid w:val="00972347"/>
    <w:rsid w:val="009778EB"/>
    <w:rsid w:val="00982FBD"/>
    <w:rsid w:val="00985AF2"/>
    <w:rsid w:val="00990E7E"/>
    <w:rsid w:val="009A2422"/>
    <w:rsid w:val="009B6BAC"/>
    <w:rsid w:val="009C7E35"/>
    <w:rsid w:val="009D4BBF"/>
    <w:rsid w:val="009E43C0"/>
    <w:rsid w:val="009F07E0"/>
    <w:rsid w:val="00A0365F"/>
    <w:rsid w:val="00A26C6F"/>
    <w:rsid w:val="00A33778"/>
    <w:rsid w:val="00A36B95"/>
    <w:rsid w:val="00A52312"/>
    <w:rsid w:val="00A62C16"/>
    <w:rsid w:val="00A65C62"/>
    <w:rsid w:val="00A661B9"/>
    <w:rsid w:val="00A732F0"/>
    <w:rsid w:val="00A7353A"/>
    <w:rsid w:val="00A75231"/>
    <w:rsid w:val="00A77024"/>
    <w:rsid w:val="00A84EAA"/>
    <w:rsid w:val="00AA031A"/>
    <w:rsid w:val="00AA201F"/>
    <w:rsid w:val="00AB6396"/>
    <w:rsid w:val="00AC3B1A"/>
    <w:rsid w:val="00AD66A9"/>
    <w:rsid w:val="00AF0925"/>
    <w:rsid w:val="00B06747"/>
    <w:rsid w:val="00B072CA"/>
    <w:rsid w:val="00B12C35"/>
    <w:rsid w:val="00B36000"/>
    <w:rsid w:val="00B36071"/>
    <w:rsid w:val="00B6533A"/>
    <w:rsid w:val="00B87443"/>
    <w:rsid w:val="00B914EC"/>
    <w:rsid w:val="00BA4313"/>
    <w:rsid w:val="00BA6C53"/>
    <w:rsid w:val="00BC1A29"/>
    <w:rsid w:val="00BC380B"/>
    <w:rsid w:val="00BC4AE2"/>
    <w:rsid w:val="00BD0DB6"/>
    <w:rsid w:val="00BD3738"/>
    <w:rsid w:val="00BD576D"/>
    <w:rsid w:val="00BE22E5"/>
    <w:rsid w:val="00BE34A6"/>
    <w:rsid w:val="00BF22E2"/>
    <w:rsid w:val="00C032F1"/>
    <w:rsid w:val="00C14F3E"/>
    <w:rsid w:val="00C4485A"/>
    <w:rsid w:val="00C47282"/>
    <w:rsid w:val="00C4739F"/>
    <w:rsid w:val="00C56067"/>
    <w:rsid w:val="00C56869"/>
    <w:rsid w:val="00C57BA5"/>
    <w:rsid w:val="00CA41FC"/>
    <w:rsid w:val="00CD197F"/>
    <w:rsid w:val="00CD3A0B"/>
    <w:rsid w:val="00CE4ABC"/>
    <w:rsid w:val="00D17C02"/>
    <w:rsid w:val="00D36CFB"/>
    <w:rsid w:val="00D84B59"/>
    <w:rsid w:val="00D90E6A"/>
    <w:rsid w:val="00DD14BA"/>
    <w:rsid w:val="00DD3759"/>
    <w:rsid w:val="00DD3AD9"/>
    <w:rsid w:val="00DE52B3"/>
    <w:rsid w:val="00E02233"/>
    <w:rsid w:val="00E043C1"/>
    <w:rsid w:val="00E254FF"/>
    <w:rsid w:val="00E348DA"/>
    <w:rsid w:val="00E45220"/>
    <w:rsid w:val="00E505B5"/>
    <w:rsid w:val="00E53060"/>
    <w:rsid w:val="00E55DE4"/>
    <w:rsid w:val="00EA234E"/>
    <w:rsid w:val="00EC2DB0"/>
    <w:rsid w:val="00ED0509"/>
    <w:rsid w:val="00ED131A"/>
    <w:rsid w:val="00ED3455"/>
    <w:rsid w:val="00ED5750"/>
    <w:rsid w:val="00F11A09"/>
    <w:rsid w:val="00F12B6E"/>
    <w:rsid w:val="00F14005"/>
    <w:rsid w:val="00F143B8"/>
    <w:rsid w:val="00F253DA"/>
    <w:rsid w:val="00F53DB6"/>
    <w:rsid w:val="00F90D00"/>
    <w:rsid w:val="00F93829"/>
    <w:rsid w:val="00F94064"/>
    <w:rsid w:val="00F95ECD"/>
    <w:rsid w:val="00FA0B9D"/>
    <w:rsid w:val="00FA0F0D"/>
    <w:rsid w:val="00FA2057"/>
    <w:rsid w:val="00FA45AD"/>
    <w:rsid w:val="00FA46B2"/>
    <w:rsid w:val="00FB5F5E"/>
    <w:rsid w:val="00FB7E53"/>
    <w:rsid w:val="00FE0DF6"/>
    <w:rsid w:val="00FE778E"/>
    <w:rsid w:val="00FF1A52"/>
    <w:rsid w:val="00FF2E8C"/>
    <w:rsid w:val="00FF3FC2"/>
    <w:rsid w:val="06F5445D"/>
    <w:rsid w:val="0C5F3B4B"/>
    <w:rsid w:val="26FD5E38"/>
    <w:rsid w:val="2AA16D97"/>
    <w:rsid w:val="32456A0B"/>
    <w:rsid w:val="39754288"/>
    <w:rsid w:val="3E314A6D"/>
    <w:rsid w:val="3EE47F51"/>
    <w:rsid w:val="40DB368A"/>
    <w:rsid w:val="43B65A1A"/>
    <w:rsid w:val="4A5C4ECE"/>
    <w:rsid w:val="61CC618F"/>
    <w:rsid w:val="63B62B0E"/>
    <w:rsid w:val="660B0895"/>
    <w:rsid w:val="6C5C7932"/>
    <w:rsid w:val="6DDA7C24"/>
    <w:rsid w:val="74A31069"/>
    <w:rsid w:val="7C0A06BA"/>
    <w:rsid w:val="7C5B088B"/>
    <w:rsid w:val="7C5E4A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qFormat="1" w:unhideWhenUsed="0" w:uiPriority="99" w:semiHidden="0"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widowControl/>
      <w:spacing w:line="360" w:lineRule="auto"/>
      <w:ind w:left="5528"/>
      <w:jc w:val="left"/>
    </w:pPr>
    <w:rPr>
      <w:b/>
      <w:sz w:val="28"/>
      <w:szCs w:val="20"/>
    </w:rPr>
  </w:style>
  <w:style w:type="paragraph" w:styleId="3">
    <w:name w:val="Balloon Text"/>
    <w:basedOn w:val="1"/>
    <w:link w:val="14"/>
    <w:semiHidden/>
    <w:unhideWhenUsed/>
    <w:qFormat/>
    <w:uiPriority w:val="99"/>
    <w:rPr>
      <w:rFonts w:ascii="宋体"/>
      <w:sz w:val="18"/>
      <w:szCs w:val="18"/>
    </w:rPr>
  </w:style>
  <w:style w:type="paragraph" w:styleId="4">
    <w:name w:val="footer"/>
    <w:basedOn w:val="1"/>
    <w:link w:val="11"/>
    <w:qFormat/>
    <w:uiPriority w:val="99"/>
    <w:pPr>
      <w:tabs>
        <w:tab w:val="center" w:pos="4153"/>
        <w:tab w:val="right" w:pos="8306"/>
      </w:tabs>
      <w:snapToGrid w:val="0"/>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Signature"/>
    <w:basedOn w:val="1"/>
    <w:next w:val="2"/>
    <w:link w:val="13"/>
    <w:qFormat/>
    <w:uiPriority w:val="99"/>
    <w:pPr>
      <w:widowControl/>
      <w:spacing w:line="360" w:lineRule="auto"/>
      <w:ind w:left="4820"/>
      <w:jc w:val="left"/>
    </w:pPr>
    <w:rPr>
      <w:b/>
      <w:sz w:val="28"/>
      <w:szCs w:val="20"/>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0">
    <w:name w:val="日期 字符"/>
    <w:link w:val="2"/>
    <w:semiHidden/>
    <w:qFormat/>
    <w:locked/>
    <w:uiPriority w:val="99"/>
    <w:rPr>
      <w:rFonts w:cs="Times New Roman"/>
      <w:sz w:val="24"/>
      <w:szCs w:val="24"/>
    </w:rPr>
  </w:style>
  <w:style w:type="character" w:customStyle="1" w:styleId="11">
    <w:name w:val="页脚 字符"/>
    <w:link w:val="4"/>
    <w:qFormat/>
    <w:locked/>
    <w:uiPriority w:val="99"/>
    <w:rPr>
      <w:rFonts w:cs="Times New Roman"/>
      <w:sz w:val="18"/>
      <w:szCs w:val="18"/>
    </w:rPr>
  </w:style>
  <w:style w:type="character" w:customStyle="1" w:styleId="12">
    <w:name w:val="页眉 字符"/>
    <w:link w:val="5"/>
    <w:semiHidden/>
    <w:qFormat/>
    <w:locked/>
    <w:uiPriority w:val="99"/>
    <w:rPr>
      <w:rFonts w:cs="Times New Roman"/>
      <w:sz w:val="18"/>
      <w:szCs w:val="18"/>
    </w:rPr>
  </w:style>
  <w:style w:type="character" w:customStyle="1" w:styleId="13">
    <w:name w:val="签名 字符"/>
    <w:link w:val="6"/>
    <w:semiHidden/>
    <w:qFormat/>
    <w:locked/>
    <w:uiPriority w:val="99"/>
    <w:rPr>
      <w:rFonts w:cs="Times New Roman"/>
      <w:sz w:val="24"/>
      <w:szCs w:val="24"/>
    </w:rPr>
  </w:style>
  <w:style w:type="character" w:customStyle="1" w:styleId="14">
    <w:name w:val="批注框文本 字符"/>
    <w:basedOn w:val="9"/>
    <w:link w:val="3"/>
    <w:semiHidden/>
    <w:qFormat/>
    <w:uiPriority w:val="99"/>
    <w:rPr>
      <w:rFonts w:ascii="宋体"/>
      <w:kern w:val="2"/>
      <w:sz w:val="18"/>
      <w:szCs w:val="18"/>
    </w:rPr>
  </w:style>
  <w:style w:type="paragraph" w:styleId="15">
    <w:name w:val="List Paragraph"/>
    <w:basedOn w:val="1"/>
    <w:qFormat/>
    <w:uiPriority w:val="34"/>
    <w:pPr>
      <w:widowControl/>
      <w:ind w:firstLine="420" w:firstLineChars="200"/>
      <w:jc w:val="left"/>
    </w:pPr>
    <w:rPr>
      <w:rFonts w:ascii="宋体" w:hAnsi="宋体" w:cs="宋体"/>
      <w:kern w:val="0"/>
      <w:sz w:val="24"/>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_Style 19"/>
    <w:basedOn w:val="1"/>
    <w:qFormat/>
    <w:uiPriority w:val="0"/>
    <w:pPr>
      <w:spacing w:line="240" w:lineRule="atLeast"/>
      <w:ind w:left="420" w:firstLine="42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4083</Words>
  <Characters>4286</Characters>
  <Lines>26</Lines>
  <Paragraphs>7</Paragraphs>
  <TotalTime>0</TotalTime>
  <ScaleCrop>false</ScaleCrop>
  <LinksUpToDate>false</LinksUpToDate>
  <CharactersWithSpaces>4307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2019-03-27T10:07:00Z</dcterms:created>
  <dc:creator>Administrator</dc:creator>
  <cp:lastModifiedBy>Leanne</cp:lastModifiedBy>
  <cp:lastPrinted>2023-04-21T00:58:35Z</cp:lastPrinted>
  <dcterms:modified xsi:type="dcterms:W3CDTF">2023-04-21T00:58:39Z</dcterms:modified>
  <dc:title>2014年度董事会工作报告</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683F028244A7454AB083E02BEB5B6B02</vt:lpwstr>
  </property>
</Properties>
</file>